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54FC5C" w14:textId="408F2ACD" w:rsidR="00C110FF" w:rsidRDefault="00C110FF" w:rsidP="0037529E">
      <w:pPr>
        <w:pStyle w:val="DocumentCategory"/>
      </w:pPr>
    </w:p>
    <w:p w14:paraId="23E03E07" w14:textId="77777777" w:rsidR="007C15A2" w:rsidRDefault="007C15A2" w:rsidP="00332678">
      <w:pPr>
        <w:pStyle w:val="DocumentTitle"/>
      </w:pPr>
      <w:r>
        <w:t>Deutsche Bank</w:t>
      </w:r>
    </w:p>
    <w:p w14:paraId="496212F0" w14:textId="4F69CFBE" w:rsidR="008A1146" w:rsidRPr="00332678" w:rsidRDefault="00CF6766" w:rsidP="00332678">
      <w:pPr>
        <w:pStyle w:val="DocumentTitle"/>
      </w:pPr>
      <w:r>
        <w:t xml:space="preserve">Conflicts of Interest </w:t>
      </w:r>
      <w:r w:rsidR="007C15A2">
        <w:t>Code</w:t>
      </w:r>
    </w:p>
    <w:p w14:paraId="527D5FE5" w14:textId="387F91D4" w:rsidR="00C771A7" w:rsidRPr="00C771A7" w:rsidRDefault="00442F93" w:rsidP="00452705">
      <w:pPr>
        <w:spacing w:before="240"/>
        <w:rPr>
          <w:lang w:val="en-US"/>
        </w:rPr>
      </w:pPr>
      <w:r>
        <w:rPr>
          <w:lang w:val="en-US"/>
        </w:rPr>
        <w:br w:type="page"/>
      </w:r>
    </w:p>
    <w:sdt>
      <w:sdtPr>
        <w:rPr>
          <w:rFonts w:ascii="Deutsche Bank Text" w:eastAsiaTheme="minorHAnsi" w:hAnsi="Deutsche Bank Text" w:cstheme="minorBidi"/>
          <w:color w:val="auto"/>
          <w:sz w:val="20"/>
          <w:szCs w:val="20"/>
        </w:rPr>
        <w:id w:val="-307550005"/>
        <w:docPartObj>
          <w:docPartGallery w:val="Table of Contents"/>
          <w:docPartUnique/>
        </w:docPartObj>
      </w:sdtPr>
      <w:sdtEndPr>
        <w:rPr>
          <w:b/>
          <w:bCs/>
          <w:noProof/>
        </w:rPr>
      </w:sdtEndPr>
      <w:sdtContent>
        <w:p w14:paraId="54DFB5CF" w14:textId="2E29D00D" w:rsidR="00A2217E" w:rsidRDefault="00A2217E">
          <w:pPr>
            <w:pStyle w:val="Inhaltsverzeichnisberschrift"/>
          </w:pPr>
          <w:r>
            <w:t>Contents</w:t>
          </w:r>
        </w:p>
        <w:p w14:paraId="5E483FE5" w14:textId="0CB3C48F" w:rsidR="00307E69" w:rsidRDefault="00307E69">
          <w:pPr>
            <w:pStyle w:val="Verzeichnis1"/>
            <w:rPr>
              <w:rFonts w:asciiTheme="minorHAnsi" w:eastAsiaTheme="minorEastAsia" w:hAnsiTheme="minorHAnsi"/>
              <w:noProof/>
              <w:kern w:val="2"/>
              <w:sz w:val="24"/>
              <w:szCs w:val="24"/>
              <w:lang w:eastAsia="en-GB"/>
              <w14:ligatures w14:val="standardContextual"/>
            </w:rPr>
          </w:pPr>
          <w:r w:rsidRPr="000C16AA">
            <w:rPr>
              <w:noProof/>
            </w:rPr>
            <w:t>1.</w:t>
          </w:r>
          <w:r>
            <w:rPr>
              <w:rFonts w:asciiTheme="minorHAnsi" w:eastAsiaTheme="minorEastAsia" w:hAnsiTheme="minorHAnsi"/>
              <w:noProof/>
              <w:kern w:val="2"/>
              <w:sz w:val="24"/>
              <w:szCs w:val="24"/>
              <w:lang w:eastAsia="en-GB"/>
              <w14:ligatures w14:val="standardContextual"/>
            </w:rPr>
            <w:tab/>
          </w:r>
          <w:r w:rsidRPr="000C16AA">
            <w:rPr>
              <w:noProof/>
            </w:rPr>
            <w:t>Scope</w:t>
          </w:r>
          <w:r>
            <w:rPr>
              <w:noProof/>
              <w:webHidden/>
            </w:rPr>
            <w:tab/>
            <w:t>3</w:t>
          </w:r>
        </w:p>
        <w:p w14:paraId="14C81886" w14:textId="49F04B42" w:rsidR="00307E69" w:rsidRDefault="00307E69">
          <w:pPr>
            <w:pStyle w:val="Verzeichnis1"/>
            <w:rPr>
              <w:rFonts w:asciiTheme="minorHAnsi" w:eastAsiaTheme="minorEastAsia" w:hAnsiTheme="minorHAnsi"/>
              <w:noProof/>
              <w:kern w:val="2"/>
              <w:sz w:val="24"/>
              <w:szCs w:val="24"/>
              <w:lang w:eastAsia="en-GB"/>
              <w14:ligatures w14:val="standardContextual"/>
            </w:rPr>
          </w:pPr>
          <w:r w:rsidRPr="000C16AA">
            <w:rPr>
              <w:noProof/>
            </w:rPr>
            <w:t>2.</w:t>
          </w:r>
          <w:r>
            <w:rPr>
              <w:rFonts w:asciiTheme="minorHAnsi" w:eastAsiaTheme="minorEastAsia" w:hAnsiTheme="minorHAnsi"/>
              <w:noProof/>
              <w:kern w:val="2"/>
              <w:sz w:val="24"/>
              <w:szCs w:val="24"/>
              <w:lang w:eastAsia="en-GB"/>
              <w14:ligatures w14:val="standardContextual"/>
            </w:rPr>
            <w:tab/>
          </w:r>
          <w:r w:rsidRPr="000C16AA">
            <w:rPr>
              <w:noProof/>
            </w:rPr>
            <w:t>What are Conflicts of Interest?</w:t>
          </w:r>
          <w:r>
            <w:rPr>
              <w:noProof/>
              <w:webHidden/>
            </w:rPr>
            <w:tab/>
            <w:t>3</w:t>
          </w:r>
        </w:p>
        <w:p w14:paraId="5B618879" w14:textId="1F2EDF0F" w:rsidR="00307E69" w:rsidRDefault="00307E69">
          <w:pPr>
            <w:pStyle w:val="Verzeichnis2"/>
            <w:rPr>
              <w:rFonts w:asciiTheme="minorHAnsi" w:eastAsiaTheme="minorEastAsia" w:hAnsiTheme="minorHAnsi"/>
              <w:noProof/>
              <w:kern w:val="2"/>
              <w:sz w:val="24"/>
              <w:szCs w:val="24"/>
              <w:lang w:eastAsia="en-GB"/>
              <w14:ligatures w14:val="standardContextual"/>
            </w:rPr>
          </w:pPr>
          <w:r w:rsidRPr="000C16AA">
            <w:rPr>
              <w:noProof/>
            </w:rPr>
            <w:t>2.1.</w:t>
          </w:r>
          <w:r>
            <w:rPr>
              <w:rFonts w:asciiTheme="minorHAnsi" w:eastAsiaTheme="minorEastAsia" w:hAnsiTheme="minorHAnsi"/>
              <w:noProof/>
              <w:kern w:val="2"/>
              <w:sz w:val="24"/>
              <w:szCs w:val="24"/>
              <w:lang w:eastAsia="en-GB"/>
              <w14:ligatures w14:val="standardContextual"/>
            </w:rPr>
            <w:tab/>
          </w:r>
          <w:r w:rsidRPr="000C16AA">
            <w:rPr>
              <w:noProof/>
            </w:rPr>
            <w:t>Relationships giving rise to Conflicts of Interest (non-exhaustive)</w:t>
          </w:r>
          <w:r>
            <w:rPr>
              <w:noProof/>
              <w:webHidden/>
            </w:rPr>
            <w:tab/>
            <w:t>3</w:t>
          </w:r>
        </w:p>
        <w:p w14:paraId="47BD61D9" w14:textId="1351FFAA" w:rsidR="00307E69" w:rsidRDefault="00307E69">
          <w:pPr>
            <w:pStyle w:val="Verzeichnis2"/>
            <w:rPr>
              <w:rFonts w:asciiTheme="minorHAnsi" w:eastAsiaTheme="minorEastAsia" w:hAnsiTheme="minorHAnsi"/>
              <w:noProof/>
              <w:kern w:val="2"/>
              <w:sz w:val="24"/>
              <w:szCs w:val="24"/>
              <w:lang w:eastAsia="en-GB"/>
              <w14:ligatures w14:val="standardContextual"/>
            </w:rPr>
          </w:pPr>
          <w:r w:rsidRPr="000C16AA">
            <w:rPr>
              <w:noProof/>
              <w:lang w:val="en-US"/>
            </w:rPr>
            <w:t>2.2.</w:t>
          </w:r>
          <w:r>
            <w:rPr>
              <w:rFonts w:asciiTheme="minorHAnsi" w:eastAsiaTheme="minorEastAsia" w:hAnsiTheme="minorHAnsi"/>
              <w:noProof/>
              <w:kern w:val="2"/>
              <w:sz w:val="24"/>
              <w:szCs w:val="24"/>
              <w:lang w:eastAsia="en-GB"/>
              <w14:ligatures w14:val="standardContextual"/>
            </w:rPr>
            <w:tab/>
          </w:r>
          <w:r w:rsidRPr="000C16AA">
            <w:rPr>
              <w:noProof/>
              <w:lang w:val="en-US"/>
            </w:rPr>
            <w:t>Conflicts of Interest scenarios (non-exhaustive)</w:t>
          </w:r>
          <w:r>
            <w:rPr>
              <w:noProof/>
              <w:webHidden/>
            </w:rPr>
            <w:tab/>
            <w:t>4</w:t>
          </w:r>
        </w:p>
        <w:p w14:paraId="475F9E25" w14:textId="513893BF" w:rsidR="00307E69" w:rsidRDefault="00307E69">
          <w:pPr>
            <w:pStyle w:val="Verzeichnis1"/>
            <w:rPr>
              <w:rFonts w:asciiTheme="minorHAnsi" w:eastAsiaTheme="minorEastAsia" w:hAnsiTheme="minorHAnsi"/>
              <w:noProof/>
              <w:kern w:val="2"/>
              <w:sz w:val="24"/>
              <w:szCs w:val="24"/>
              <w:lang w:eastAsia="en-GB"/>
              <w14:ligatures w14:val="standardContextual"/>
            </w:rPr>
          </w:pPr>
          <w:r w:rsidRPr="000C16AA">
            <w:rPr>
              <w:noProof/>
            </w:rPr>
            <w:t>3.</w:t>
          </w:r>
          <w:r>
            <w:rPr>
              <w:rFonts w:asciiTheme="minorHAnsi" w:eastAsiaTheme="minorEastAsia" w:hAnsiTheme="minorHAnsi"/>
              <w:noProof/>
              <w:kern w:val="2"/>
              <w:sz w:val="24"/>
              <w:szCs w:val="24"/>
              <w:lang w:eastAsia="en-GB"/>
              <w14:ligatures w14:val="standardContextual"/>
            </w:rPr>
            <w:tab/>
          </w:r>
          <w:r w:rsidRPr="000C16AA">
            <w:rPr>
              <w:noProof/>
            </w:rPr>
            <w:t>Approach to Conflicts Management</w:t>
          </w:r>
          <w:r>
            <w:rPr>
              <w:noProof/>
              <w:webHidden/>
            </w:rPr>
            <w:tab/>
            <w:t>4</w:t>
          </w:r>
        </w:p>
        <w:p w14:paraId="3A42C2E4" w14:textId="63D991EF" w:rsidR="00307E69" w:rsidRDefault="00307E69">
          <w:pPr>
            <w:pStyle w:val="Verzeichnis1"/>
            <w:rPr>
              <w:rFonts w:asciiTheme="minorHAnsi" w:eastAsiaTheme="minorEastAsia" w:hAnsiTheme="minorHAnsi"/>
              <w:noProof/>
              <w:kern w:val="2"/>
              <w:sz w:val="24"/>
              <w:szCs w:val="24"/>
              <w:lang w:eastAsia="en-GB"/>
              <w14:ligatures w14:val="standardContextual"/>
            </w:rPr>
          </w:pPr>
          <w:r w:rsidRPr="000C16AA">
            <w:rPr>
              <w:noProof/>
            </w:rPr>
            <w:t>4.</w:t>
          </w:r>
          <w:r>
            <w:rPr>
              <w:rFonts w:asciiTheme="minorHAnsi" w:eastAsiaTheme="minorEastAsia" w:hAnsiTheme="minorHAnsi"/>
              <w:noProof/>
              <w:kern w:val="2"/>
              <w:sz w:val="24"/>
              <w:szCs w:val="24"/>
              <w:lang w:eastAsia="en-GB"/>
              <w14:ligatures w14:val="standardContextual"/>
            </w:rPr>
            <w:tab/>
          </w:r>
          <w:r w:rsidRPr="000C16AA">
            <w:rPr>
              <w:noProof/>
            </w:rPr>
            <w:t>Employee Responsibilities</w:t>
          </w:r>
          <w:r>
            <w:rPr>
              <w:noProof/>
              <w:webHidden/>
            </w:rPr>
            <w:tab/>
            <w:t>5</w:t>
          </w:r>
        </w:p>
        <w:p w14:paraId="2E3B6950" w14:textId="55DE1C3F" w:rsidR="00307E69" w:rsidRDefault="00307E69">
          <w:pPr>
            <w:pStyle w:val="Verzeichnis2"/>
            <w:rPr>
              <w:rFonts w:asciiTheme="minorHAnsi" w:eastAsiaTheme="minorEastAsia" w:hAnsiTheme="minorHAnsi"/>
              <w:noProof/>
              <w:kern w:val="2"/>
              <w:sz w:val="24"/>
              <w:szCs w:val="24"/>
              <w:lang w:eastAsia="en-GB"/>
              <w14:ligatures w14:val="standardContextual"/>
            </w:rPr>
          </w:pPr>
          <w:r w:rsidRPr="000C16AA">
            <w:rPr>
              <w:noProof/>
            </w:rPr>
            <w:t>4.1.</w:t>
          </w:r>
          <w:r>
            <w:rPr>
              <w:rFonts w:asciiTheme="minorHAnsi" w:eastAsiaTheme="minorEastAsia" w:hAnsiTheme="minorHAnsi"/>
              <w:noProof/>
              <w:kern w:val="2"/>
              <w:sz w:val="24"/>
              <w:szCs w:val="24"/>
              <w:lang w:eastAsia="en-GB"/>
              <w14:ligatures w14:val="standardContextual"/>
            </w:rPr>
            <w:tab/>
          </w:r>
          <w:r w:rsidRPr="000C16AA">
            <w:rPr>
              <w:noProof/>
            </w:rPr>
            <w:t>All Employees</w:t>
          </w:r>
          <w:r>
            <w:rPr>
              <w:noProof/>
              <w:webHidden/>
            </w:rPr>
            <w:tab/>
            <w:t>5</w:t>
          </w:r>
        </w:p>
        <w:p w14:paraId="3843FCA7" w14:textId="6DC702D5" w:rsidR="00307E69" w:rsidRDefault="00307E69">
          <w:pPr>
            <w:pStyle w:val="Verzeichnis2"/>
            <w:rPr>
              <w:rFonts w:asciiTheme="minorHAnsi" w:eastAsiaTheme="minorEastAsia" w:hAnsiTheme="minorHAnsi"/>
              <w:noProof/>
              <w:kern w:val="2"/>
              <w:sz w:val="24"/>
              <w:szCs w:val="24"/>
              <w:lang w:eastAsia="en-GB"/>
              <w14:ligatures w14:val="standardContextual"/>
            </w:rPr>
          </w:pPr>
          <w:r w:rsidRPr="000C16AA">
            <w:rPr>
              <w:noProof/>
            </w:rPr>
            <w:t>4.2.</w:t>
          </w:r>
          <w:r>
            <w:rPr>
              <w:rFonts w:asciiTheme="minorHAnsi" w:eastAsiaTheme="minorEastAsia" w:hAnsiTheme="minorHAnsi"/>
              <w:noProof/>
              <w:kern w:val="2"/>
              <w:sz w:val="24"/>
              <w:szCs w:val="24"/>
              <w:lang w:eastAsia="en-GB"/>
              <w14:ligatures w14:val="standardContextual"/>
            </w:rPr>
            <w:tab/>
          </w:r>
          <w:r w:rsidRPr="000C16AA">
            <w:rPr>
              <w:noProof/>
            </w:rPr>
            <w:t>Supervisors</w:t>
          </w:r>
          <w:r>
            <w:rPr>
              <w:noProof/>
              <w:webHidden/>
            </w:rPr>
            <w:tab/>
            <w:t>6</w:t>
          </w:r>
        </w:p>
        <w:p w14:paraId="23405D4C" w14:textId="646EA5C9" w:rsidR="00307E69" w:rsidRDefault="00307E69">
          <w:pPr>
            <w:pStyle w:val="Verzeichnis2"/>
            <w:rPr>
              <w:rFonts w:asciiTheme="minorHAnsi" w:eastAsiaTheme="minorEastAsia" w:hAnsiTheme="minorHAnsi"/>
              <w:noProof/>
              <w:kern w:val="2"/>
              <w:sz w:val="24"/>
              <w:szCs w:val="24"/>
              <w:lang w:eastAsia="en-GB"/>
              <w14:ligatures w14:val="standardContextual"/>
            </w:rPr>
          </w:pPr>
          <w:r w:rsidRPr="000C16AA">
            <w:rPr>
              <w:noProof/>
            </w:rPr>
            <w:t>4.3.</w:t>
          </w:r>
          <w:r>
            <w:rPr>
              <w:rFonts w:asciiTheme="minorHAnsi" w:eastAsiaTheme="minorEastAsia" w:hAnsiTheme="minorHAnsi"/>
              <w:noProof/>
              <w:kern w:val="2"/>
              <w:sz w:val="24"/>
              <w:szCs w:val="24"/>
              <w:lang w:eastAsia="en-GB"/>
              <w14:ligatures w14:val="standardContextual"/>
            </w:rPr>
            <w:tab/>
          </w:r>
          <w:r w:rsidRPr="000C16AA">
            <w:rPr>
              <w:noProof/>
            </w:rPr>
            <w:t>Senior Managers</w:t>
          </w:r>
          <w:r>
            <w:rPr>
              <w:noProof/>
              <w:webHidden/>
            </w:rPr>
            <w:tab/>
            <w:t>6</w:t>
          </w:r>
        </w:p>
        <w:p w14:paraId="77480326" w14:textId="203F0D3B" w:rsidR="00307E69" w:rsidRDefault="00307E69">
          <w:pPr>
            <w:pStyle w:val="Verzeichnis2"/>
            <w:rPr>
              <w:rFonts w:asciiTheme="minorHAnsi" w:eastAsiaTheme="minorEastAsia" w:hAnsiTheme="minorHAnsi"/>
              <w:noProof/>
              <w:kern w:val="2"/>
              <w:sz w:val="24"/>
              <w:szCs w:val="24"/>
              <w:lang w:eastAsia="en-GB"/>
              <w14:ligatures w14:val="standardContextual"/>
            </w:rPr>
          </w:pPr>
          <w:r w:rsidRPr="000C16AA">
            <w:rPr>
              <w:noProof/>
            </w:rPr>
            <w:t>4.4.</w:t>
          </w:r>
          <w:r>
            <w:rPr>
              <w:rFonts w:asciiTheme="minorHAnsi" w:eastAsiaTheme="minorEastAsia" w:hAnsiTheme="minorHAnsi"/>
              <w:noProof/>
              <w:kern w:val="2"/>
              <w:sz w:val="24"/>
              <w:szCs w:val="24"/>
              <w:lang w:eastAsia="en-GB"/>
              <w14:ligatures w14:val="standardContextual"/>
            </w:rPr>
            <w:tab/>
          </w:r>
          <w:r w:rsidRPr="000C16AA">
            <w:rPr>
              <w:noProof/>
            </w:rPr>
            <w:t>Board Members of DB Group Entities</w:t>
          </w:r>
          <w:r>
            <w:rPr>
              <w:noProof/>
              <w:webHidden/>
            </w:rPr>
            <w:tab/>
            <w:t>7</w:t>
          </w:r>
        </w:p>
        <w:p w14:paraId="20ADC124" w14:textId="691E5F25" w:rsidR="00307E69" w:rsidRDefault="00307E69">
          <w:pPr>
            <w:pStyle w:val="Verzeichnis1"/>
            <w:rPr>
              <w:rFonts w:asciiTheme="minorHAnsi" w:eastAsiaTheme="minorEastAsia" w:hAnsiTheme="minorHAnsi"/>
              <w:noProof/>
              <w:kern w:val="2"/>
              <w:sz w:val="24"/>
              <w:szCs w:val="24"/>
              <w:lang w:eastAsia="en-GB"/>
              <w14:ligatures w14:val="standardContextual"/>
            </w:rPr>
          </w:pPr>
          <w:r w:rsidRPr="000C16AA">
            <w:rPr>
              <w:noProof/>
            </w:rPr>
            <w:t>5.</w:t>
          </w:r>
          <w:r>
            <w:rPr>
              <w:rFonts w:asciiTheme="minorHAnsi" w:eastAsiaTheme="minorEastAsia" w:hAnsiTheme="minorHAnsi"/>
              <w:noProof/>
              <w:kern w:val="2"/>
              <w:sz w:val="24"/>
              <w:szCs w:val="24"/>
              <w:lang w:eastAsia="en-GB"/>
              <w14:ligatures w14:val="standardContextual"/>
            </w:rPr>
            <w:tab/>
          </w:r>
          <w:r w:rsidRPr="000C16AA">
            <w:rPr>
              <w:noProof/>
            </w:rPr>
            <w:t>Organisational arrangements relating to Conflicts of Interest</w:t>
          </w:r>
          <w:r>
            <w:rPr>
              <w:noProof/>
              <w:webHidden/>
            </w:rPr>
            <w:tab/>
            <w:t>7</w:t>
          </w:r>
        </w:p>
        <w:p w14:paraId="44D75121" w14:textId="44193F2A" w:rsidR="00307E69" w:rsidRDefault="00307E69">
          <w:pPr>
            <w:pStyle w:val="Verzeichnis2"/>
            <w:rPr>
              <w:rFonts w:asciiTheme="minorHAnsi" w:eastAsiaTheme="minorEastAsia" w:hAnsiTheme="minorHAnsi"/>
              <w:noProof/>
              <w:kern w:val="2"/>
              <w:sz w:val="24"/>
              <w:szCs w:val="24"/>
              <w:lang w:eastAsia="en-GB"/>
              <w14:ligatures w14:val="standardContextual"/>
            </w:rPr>
          </w:pPr>
          <w:r w:rsidRPr="000C16AA">
            <w:rPr>
              <w:noProof/>
            </w:rPr>
            <w:t>5.1.</w:t>
          </w:r>
          <w:r>
            <w:rPr>
              <w:rFonts w:asciiTheme="minorHAnsi" w:eastAsiaTheme="minorEastAsia" w:hAnsiTheme="minorHAnsi"/>
              <w:noProof/>
              <w:kern w:val="2"/>
              <w:sz w:val="24"/>
              <w:szCs w:val="24"/>
              <w:lang w:eastAsia="en-GB"/>
              <w14:ligatures w14:val="standardContextual"/>
            </w:rPr>
            <w:tab/>
          </w:r>
          <w:r w:rsidRPr="000C16AA">
            <w:rPr>
              <w:noProof/>
            </w:rPr>
            <w:t>Internal Governance Arrangements</w:t>
          </w:r>
          <w:r>
            <w:rPr>
              <w:noProof/>
              <w:webHidden/>
            </w:rPr>
            <w:tab/>
            <w:t>7</w:t>
          </w:r>
        </w:p>
        <w:p w14:paraId="13502AAB" w14:textId="18D66F0F" w:rsidR="00307E69" w:rsidRDefault="00307E69">
          <w:pPr>
            <w:pStyle w:val="Verzeichnis2"/>
            <w:rPr>
              <w:rFonts w:asciiTheme="minorHAnsi" w:eastAsiaTheme="minorEastAsia" w:hAnsiTheme="minorHAnsi"/>
              <w:noProof/>
              <w:kern w:val="2"/>
              <w:sz w:val="24"/>
              <w:szCs w:val="24"/>
              <w:lang w:eastAsia="en-GB"/>
              <w14:ligatures w14:val="standardContextual"/>
            </w:rPr>
          </w:pPr>
          <w:r w:rsidRPr="000C16AA">
            <w:rPr>
              <w:noProof/>
            </w:rPr>
            <w:t>5.2.</w:t>
          </w:r>
          <w:r>
            <w:rPr>
              <w:rFonts w:asciiTheme="minorHAnsi" w:eastAsiaTheme="minorEastAsia" w:hAnsiTheme="minorHAnsi"/>
              <w:noProof/>
              <w:kern w:val="2"/>
              <w:sz w:val="24"/>
              <w:szCs w:val="24"/>
              <w:lang w:eastAsia="en-GB"/>
              <w14:ligatures w14:val="standardContextual"/>
            </w:rPr>
            <w:tab/>
          </w:r>
          <w:r w:rsidRPr="000C16AA">
            <w:rPr>
              <w:noProof/>
            </w:rPr>
            <w:t>Conflicts of Interest Group-wide Minimum Standards Framework</w:t>
          </w:r>
          <w:r>
            <w:rPr>
              <w:noProof/>
              <w:webHidden/>
            </w:rPr>
            <w:tab/>
            <w:t>8</w:t>
          </w:r>
        </w:p>
        <w:p w14:paraId="0581A722" w14:textId="3689300B" w:rsidR="00307E69" w:rsidRDefault="00307E69">
          <w:pPr>
            <w:pStyle w:val="Verzeichnis1"/>
            <w:rPr>
              <w:rFonts w:asciiTheme="minorHAnsi" w:eastAsiaTheme="minorEastAsia" w:hAnsiTheme="minorHAnsi"/>
              <w:noProof/>
              <w:kern w:val="2"/>
              <w:sz w:val="24"/>
              <w:szCs w:val="24"/>
              <w:lang w:eastAsia="en-GB"/>
              <w14:ligatures w14:val="standardContextual"/>
            </w:rPr>
          </w:pPr>
          <w:r w:rsidRPr="000C16AA">
            <w:rPr>
              <w:noProof/>
            </w:rPr>
            <w:t>6.</w:t>
          </w:r>
          <w:r>
            <w:rPr>
              <w:rFonts w:asciiTheme="minorHAnsi" w:eastAsiaTheme="minorEastAsia" w:hAnsiTheme="minorHAnsi"/>
              <w:noProof/>
              <w:kern w:val="2"/>
              <w:sz w:val="24"/>
              <w:szCs w:val="24"/>
              <w:lang w:eastAsia="en-GB"/>
              <w14:ligatures w14:val="standardContextual"/>
            </w:rPr>
            <w:tab/>
          </w:r>
          <w:r w:rsidRPr="000C16AA">
            <w:rPr>
              <w:noProof/>
            </w:rPr>
            <w:t>Policies, Procedures, Systems and Controls relating to Conflicts of Interest</w:t>
          </w:r>
          <w:r>
            <w:rPr>
              <w:noProof/>
              <w:webHidden/>
            </w:rPr>
            <w:tab/>
            <w:t>9</w:t>
          </w:r>
        </w:p>
        <w:p w14:paraId="59F581FE" w14:textId="4284528A" w:rsidR="00307E69" w:rsidRDefault="00307E69">
          <w:pPr>
            <w:pStyle w:val="Verzeichnis2"/>
            <w:rPr>
              <w:rFonts w:asciiTheme="minorHAnsi" w:eastAsiaTheme="minorEastAsia" w:hAnsiTheme="minorHAnsi"/>
              <w:noProof/>
              <w:kern w:val="2"/>
              <w:sz w:val="24"/>
              <w:szCs w:val="24"/>
              <w:lang w:eastAsia="en-GB"/>
              <w14:ligatures w14:val="standardContextual"/>
            </w:rPr>
          </w:pPr>
          <w:r w:rsidRPr="000C16AA">
            <w:rPr>
              <w:noProof/>
            </w:rPr>
            <w:t>6.1.</w:t>
          </w:r>
          <w:r>
            <w:rPr>
              <w:rFonts w:asciiTheme="minorHAnsi" w:eastAsiaTheme="minorEastAsia" w:hAnsiTheme="minorHAnsi"/>
              <w:noProof/>
              <w:kern w:val="2"/>
              <w:sz w:val="24"/>
              <w:szCs w:val="24"/>
              <w:lang w:eastAsia="en-GB"/>
              <w14:ligatures w14:val="standardContextual"/>
            </w:rPr>
            <w:tab/>
          </w:r>
          <w:r w:rsidRPr="000C16AA">
            <w:rPr>
              <w:noProof/>
            </w:rPr>
            <w:t>General Policies, Procedures, Systems and Controls</w:t>
          </w:r>
          <w:r>
            <w:rPr>
              <w:noProof/>
              <w:webHidden/>
            </w:rPr>
            <w:tab/>
            <w:t>9</w:t>
          </w:r>
        </w:p>
        <w:p w14:paraId="3A88C16B" w14:textId="17590278" w:rsidR="00307E69" w:rsidRDefault="00307E69">
          <w:pPr>
            <w:pStyle w:val="Verzeichnis2"/>
            <w:rPr>
              <w:rFonts w:asciiTheme="minorHAnsi" w:eastAsiaTheme="minorEastAsia" w:hAnsiTheme="minorHAnsi"/>
              <w:noProof/>
              <w:kern w:val="2"/>
              <w:sz w:val="24"/>
              <w:szCs w:val="24"/>
              <w:lang w:eastAsia="en-GB"/>
              <w14:ligatures w14:val="standardContextual"/>
            </w:rPr>
          </w:pPr>
          <w:r w:rsidRPr="000C16AA">
            <w:rPr>
              <w:noProof/>
            </w:rPr>
            <w:t>6.2.</w:t>
          </w:r>
          <w:r>
            <w:rPr>
              <w:rFonts w:asciiTheme="minorHAnsi" w:eastAsiaTheme="minorEastAsia" w:hAnsiTheme="minorHAnsi"/>
              <w:noProof/>
              <w:kern w:val="2"/>
              <w:sz w:val="24"/>
              <w:szCs w:val="24"/>
              <w:lang w:eastAsia="en-GB"/>
              <w14:ligatures w14:val="standardContextual"/>
            </w:rPr>
            <w:tab/>
          </w:r>
          <w:r w:rsidRPr="000C16AA">
            <w:rPr>
              <w:noProof/>
            </w:rPr>
            <w:t>Policies, Procedures, Systems and Controls relating to specific activities</w:t>
          </w:r>
          <w:r>
            <w:rPr>
              <w:noProof/>
              <w:webHidden/>
            </w:rPr>
            <w:tab/>
            <w:t>10</w:t>
          </w:r>
        </w:p>
        <w:p w14:paraId="2B70FF0A" w14:textId="127FF313" w:rsidR="00307E69" w:rsidRDefault="00307E69">
          <w:pPr>
            <w:pStyle w:val="Verzeichnis1"/>
            <w:rPr>
              <w:rFonts w:asciiTheme="minorHAnsi" w:eastAsiaTheme="minorEastAsia" w:hAnsiTheme="minorHAnsi"/>
              <w:noProof/>
              <w:kern w:val="2"/>
              <w:sz w:val="24"/>
              <w:szCs w:val="24"/>
              <w:lang w:eastAsia="en-GB"/>
              <w14:ligatures w14:val="standardContextual"/>
            </w:rPr>
          </w:pPr>
          <w:r w:rsidRPr="000C16AA">
            <w:rPr>
              <w:noProof/>
            </w:rPr>
            <w:t>7.</w:t>
          </w:r>
          <w:r>
            <w:rPr>
              <w:rFonts w:asciiTheme="minorHAnsi" w:eastAsiaTheme="minorEastAsia" w:hAnsiTheme="minorHAnsi"/>
              <w:noProof/>
              <w:kern w:val="2"/>
              <w:sz w:val="24"/>
              <w:szCs w:val="24"/>
              <w:lang w:eastAsia="en-GB"/>
              <w14:ligatures w14:val="standardContextual"/>
            </w:rPr>
            <w:tab/>
          </w:r>
          <w:r w:rsidRPr="000C16AA">
            <w:rPr>
              <w:noProof/>
            </w:rPr>
            <w:t>Glossary</w:t>
          </w:r>
          <w:r>
            <w:rPr>
              <w:noProof/>
              <w:webHidden/>
            </w:rPr>
            <w:tab/>
            <w:t>12</w:t>
          </w:r>
        </w:p>
        <w:p w14:paraId="254E9C38" w14:textId="5B37F4B6" w:rsidR="00A2217E" w:rsidRDefault="00000000"/>
      </w:sdtContent>
    </w:sdt>
    <w:p w14:paraId="7F6EC6AB" w14:textId="77777777" w:rsidR="00921C96" w:rsidRDefault="00921C96">
      <w:pPr>
        <w:spacing w:before="0" w:after="160"/>
      </w:pPr>
      <w:r>
        <w:br w:type="page"/>
      </w:r>
    </w:p>
    <w:p w14:paraId="57C87825" w14:textId="77777777" w:rsidR="00E725C7" w:rsidRPr="002E1DBA" w:rsidRDefault="00C70D2C" w:rsidP="006537E5">
      <w:pPr>
        <w:pStyle w:val="berschrift1"/>
      </w:pPr>
      <w:bookmarkStart w:id="0" w:name="_Toc211502431"/>
      <w:r w:rsidRPr="002E1DBA">
        <w:lastRenderedPageBreak/>
        <w:t>Scope</w:t>
      </w:r>
      <w:bookmarkEnd w:id="0"/>
    </w:p>
    <w:p w14:paraId="40B5FE2E" w14:textId="2D552487" w:rsidR="00A915C3" w:rsidRPr="00282EC3" w:rsidRDefault="00D93770" w:rsidP="00A915C3">
      <w:r>
        <w:t xml:space="preserve">The </w:t>
      </w:r>
      <w:r w:rsidR="003E69D2">
        <w:t xml:space="preserve">Code </w:t>
      </w:r>
      <w:r>
        <w:t>sets out the Bank’s arrangements in connection with the identification, documentation, escalation and management of Conflicts of Interest, including where such Conflicts of Interest arise in the context of MiFID Business</w:t>
      </w:r>
      <w:r w:rsidR="003E69D2">
        <w:t>, and reflects the responsibilities of Deutsche Bank’s Employees in this regard.</w:t>
      </w:r>
    </w:p>
    <w:p w14:paraId="0CBB8919" w14:textId="34D1A5C7" w:rsidR="00173C5A" w:rsidRPr="00074932" w:rsidRDefault="00733D2C" w:rsidP="00173C5A">
      <w:r w:rsidRPr="00074932">
        <w:t xml:space="preserve">Capitalised terms have the meaning ascribed to them in </w:t>
      </w:r>
      <w:r w:rsidR="00ED6B6B" w:rsidRPr="00074932">
        <w:t xml:space="preserve">the </w:t>
      </w:r>
      <w:r w:rsidR="001E61E8" w:rsidRPr="001D1908">
        <w:t>Glossary</w:t>
      </w:r>
      <w:r w:rsidRPr="00074932">
        <w:t>.</w:t>
      </w:r>
    </w:p>
    <w:p w14:paraId="11873071" w14:textId="133126C5" w:rsidR="000B1668" w:rsidRDefault="00D93770" w:rsidP="006537E5">
      <w:pPr>
        <w:pStyle w:val="berschrift1"/>
      </w:pPr>
      <w:bookmarkStart w:id="1" w:name="_Toc211502432"/>
      <w:r>
        <w:t>What are Conflicts of Interest?</w:t>
      </w:r>
      <w:bookmarkEnd w:id="1"/>
    </w:p>
    <w:p w14:paraId="13552AD0" w14:textId="0DB76E68" w:rsidR="00D93770" w:rsidRDefault="00D93770" w:rsidP="00D93770">
      <w:r>
        <w:t xml:space="preserve">A Conflict of Interest is a situation where one or more persons or entities have </w:t>
      </w:r>
      <w:proofErr w:type="gramStart"/>
      <w:r>
        <w:t>competing</w:t>
      </w:r>
      <w:proofErr w:type="gramEnd"/>
      <w:r>
        <w:t xml:space="preserve"> interests and the serving of one interest may involve detriment to another. This </w:t>
      </w:r>
      <w:r w:rsidR="003E69D2">
        <w:t>Code</w:t>
      </w:r>
      <w:r>
        <w:t xml:space="preserve"> applies to the extent that a Conflict of Interest gives rise to the risk of one or more of the following: </w:t>
      </w:r>
    </w:p>
    <w:p w14:paraId="45581AAB" w14:textId="77777777" w:rsidR="00D93770" w:rsidRDefault="00D93770" w:rsidP="00FF30BA">
      <w:pPr>
        <w:pStyle w:val="Listenabsatz"/>
        <w:numPr>
          <w:ilvl w:val="0"/>
          <w:numId w:val="30"/>
        </w:numPr>
      </w:pPr>
      <w:r>
        <w:t xml:space="preserve">the Bank and/or an Employee failing to comply with legal or regulatory </w:t>
      </w:r>
      <w:proofErr w:type="gramStart"/>
      <w:r>
        <w:t>obligations;</w:t>
      </w:r>
      <w:proofErr w:type="gramEnd"/>
    </w:p>
    <w:p w14:paraId="6003F94C" w14:textId="77777777" w:rsidR="00D93770" w:rsidRDefault="00D93770" w:rsidP="00FF30BA">
      <w:pPr>
        <w:pStyle w:val="Listenabsatz"/>
        <w:numPr>
          <w:ilvl w:val="0"/>
          <w:numId w:val="30"/>
        </w:numPr>
      </w:pPr>
      <w:r>
        <w:t xml:space="preserve">the Bank and/or an Employee failing to fulfil a duty of care, trust or loyalty owed to another person or entity such as a </w:t>
      </w:r>
      <w:proofErr w:type="gramStart"/>
      <w:r>
        <w:t>Client;</w:t>
      </w:r>
      <w:proofErr w:type="gramEnd"/>
    </w:p>
    <w:p w14:paraId="137FB706" w14:textId="77777777" w:rsidR="00D93770" w:rsidRDefault="00D93770" w:rsidP="00FF30BA">
      <w:pPr>
        <w:pStyle w:val="Listenabsatz"/>
        <w:numPr>
          <w:ilvl w:val="0"/>
          <w:numId w:val="30"/>
        </w:numPr>
      </w:pPr>
      <w:r>
        <w:t xml:space="preserve">an Employee’s professional judgement and objectivity being compromised and/or hindering the proper discharge of their duties and </w:t>
      </w:r>
      <w:proofErr w:type="gramStart"/>
      <w:r>
        <w:t>responsibilities;</w:t>
      </w:r>
      <w:proofErr w:type="gramEnd"/>
      <w:r>
        <w:t xml:space="preserve"> </w:t>
      </w:r>
    </w:p>
    <w:p w14:paraId="259D0F90" w14:textId="77777777" w:rsidR="00D93770" w:rsidRDefault="00D93770" w:rsidP="00FF30BA">
      <w:pPr>
        <w:pStyle w:val="Listenabsatz"/>
        <w:numPr>
          <w:ilvl w:val="0"/>
          <w:numId w:val="30"/>
        </w:numPr>
      </w:pPr>
      <w:r>
        <w:t>an Employee engaging in unethical conduct; and/or</w:t>
      </w:r>
    </w:p>
    <w:p w14:paraId="156ACB80" w14:textId="77777777" w:rsidR="00D93770" w:rsidRDefault="00D93770" w:rsidP="00FF30BA">
      <w:pPr>
        <w:pStyle w:val="Listenabsatz"/>
        <w:numPr>
          <w:ilvl w:val="0"/>
          <w:numId w:val="30"/>
        </w:numPr>
      </w:pPr>
      <w:r>
        <w:t xml:space="preserve">the Bank obtaining improper advantage or treatment or giving rise to the appearance of impropriety and reputational damage, including as it relates to the </w:t>
      </w:r>
      <w:proofErr w:type="gramStart"/>
      <w:r>
        <w:t>manner in which</w:t>
      </w:r>
      <w:proofErr w:type="gramEnd"/>
      <w:r>
        <w:t xml:space="preserve"> business is awarded to or by the Bank. </w:t>
      </w:r>
    </w:p>
    <w:p w14:paraId="3D0DAC37" w14:textId="5113489F" w:rsidR="00D93770" w:rsidRDefault="00D93770" w:rsidP="00D93770">
      <w:r>
        <w:t xml:space="preserve">A Conflict of Interest includes both an actual Conflict of Interest (i.e. a Conflict of Interest that has arisen) and a potential Conflict of Interest (i.e. a Conflict of Interest that may arise given particular facts and circumstances). </w:t>
      </w:r>
      <w:r w:rsidRPr="00EC2AD1">
        <w:t>For this purpose, actual and potential Conflicts of Interest include situations which may give rise to the perception of a Conflict of Interest, even where a Conflict of Interest may not in fact exist.</w:t>
      </w:r>
      <w:r>
        <w:t xml:space="preserve"> </w:t>
      </w:r>
    </w:p>
    <w:p w14:paraId="50949518" w14:textId="77777777" w:rsidR="00D93770" w:rsidRDefault="00D93770" w:rsidP="00D93770">
      <w:r>
        <w:t>Certain Conflicts of Interest are persistent and need to be managed on an ongoing basis, while others may arise in relation to a single event (e.g. a transaction) and can usually be managed by one-off measures.</w:t>
      </w:r>
    </w:p>
    <w:p w14:paraId="6F288EC3" w14:textId="6BD5E87B" w:rsidR="00D93770" w:rsidRDefault="00D93770" w:rsidP="00D93770">
      <w:r>
        <w:t xml:space="preserve">Failure to identify and appropriately manage Conflicts of Interest could result in inappropriate or a range of adverse consequences for Clients, the Bank and Employees, such as reputational damage, damage to client relationships and loss of client business, regulatory sanctions, and risk of litigation. To assist in the identification of Conflicts of Interest, </w:t>
      </w:r>
      <w:r w:rsidR="00B11009">
        <w:t>below are</w:t>
      </w:r>
      <w:r>
        <w:t xml:space="preserve"> non-exhaustive lists of (</w:t>
      </w:r>
      <w:proofErr w:type="spellStart"/>
      <w:r>
        <w:t>i</w:t>
      </w:r>
      <w:proofErr w:type="spellEnd"/>
      <w:r>
        <w:t>) relationships where Conflicts of Interest may arise and (ii) Conflicts of Interest scenarios.</w:t>
      </w:r>
    </w:p>
    <w:p w14:paraId="78CDF3F6" w14:textId="5A5BA347" w:rsidR="00D93770" w:rsidRPr="00D93770" w:rsidRDefault="00D93770" w:rsidP="00FF30BA">
      <w:pPr>
        <w:pStyle w:val="berschrift2"/>
      </w:pPr>
      <w:bookmarkStart w:id="2" w:name="_Toc126708370"/>
      <w:bookmarkStart w:id="3" w:name="_Toc126712021"/>
      <w:bookmarkStart w:id="4" w:name="_Toc211502433"/>
      <w:r w:rsidRPr="00D93770">
        <w:t>Relationships giving rise to Conflicts of Interest (non-exhaustive)</w:t>
      </w:r>
      <w:bookmarkEnd w:id="2"/>
      <w:bookmarkEnd w:id="3"/>
      <w:bookmarkEnd w:id="4"/>
    </w:p>
    <w:p w14:paraId="101526BF" w14:textId="7F110BCB" w:rsidR="00D93770" w:rsidRPr="00D93770" w:rsidRDefault="00D93770" w:rsidP="00D93770">
      <w:r w:rsidRPr="00D93770">
        <w:t>Conflicts of Interest arise in a variety of relationships which are often closely related and may overlap. This includes Conflicts of Interest that arise between:</w:t>
      </w:r>
    </w:p>
    <w:p w14:paraId="167C22F7" w14:textId="77777777" w:rsidR="00D93770" w:rsidRPr="00D93770" w:rsidRDefault="00D93770" w:rsidP="00FF30BA">
      <w:pPr>
        <w:numPr>
          <w:ilvl w:val="0"/>
          <w:numId w:val="29"/>
        </w:numPr>
        <w:spacing w:before="60" w:after="60"/>
        <w:ind w:left="714" w:hanging="357"/>
      </w:pPr>
      <w:r w:rsidRPr="00D93770">
        <w:t xml:space="preserve">a Client and the Bank, an Employee or a Third Party </w:t>
      </w:r>
      <w:proofErr w:type="gramStart"/>
      <w:r w:rsidRPr="00D93770">
        <w:t>Representative;</w:t>
      </w:r>
      <w:proofErr w:type="gramEnd"/>
      <w:r w:rsidRPr="00D93770">
        <w:t xml:space="preserve"> </w:t>
      </w:r>
    </w:p>
    <w:p w14:paraId="33560C56" w14:textId="77777777" w:rsidR="00D93770" w:rsidRPr="00D93770" w:rsidRDefault="00D93770" w:rsidP="00FF30BA">
      <w:pPr>
        <w:numPr>
          <w:ilvl w:val="0"/>
          <w:numId w:val="29"/>
        </w:numPr>
        <w:spacing w:before="60" w:after="60"/>
        <w:ind w:left="714" w:hanging="357"/>
      </w:pPr>
      <w:r w:rsidRPr="00D93770">
        <w:t xml:space="preserve">two or more Clients in the context of the provision of services by the Bank to those </w:t>
      </w:r>
      <w:proofErr w:type="gramStart"/>
      <w:r w:rsidRPr="00D93770">
        <w:t>Clients;</w:t>
      </w:r>
      <w:proofErr w:type="gramEnd"/>
    </w:p>
    <w:p w14:paraId="07241856" w14:textId="77777777" w:rsidR="00D93770" w:rsidRPr="00D93770" w:rsidRDefault="00D93770" w:rsidP="00FF30BA">
      <w:pPr>
        <w:numPr>
          <w:ilvl w:val="0"/>
          <w:numId w:val="29"/>
        </w:numPr>
        <w:spacing w:before="60" w:after="60"/>
        <w:ind w:left="714" w:hanging="357"/>
      </w:pPr>
      <w:r w:rsidRPr="00D93770">
        <w:t xml:space="preserve">the Bank and an Employee, Vendor, Third Party Representative or material </w:t>
      </w:r>
      <w:proofErr w:type="gramStart"/>
      <w:r w:rsidRPr="00D93770">
        <w:t>shareholder;</w:t>
      </w:r>
      <w:proofErr w:type="gramEnd"/>
    </w:p>
    <w:p w14:paraId="3177DC70" w14:textId="77777777" w:rsidR="00D93770" w:rsidRDefault="00D93770" w:rsidP="00FF30BA">
      <w:pPr>
        <w:numPr>
          <w:ilvl w:val="0"/>
          <w:numId w:val="29"/>
        </w:numPr>
        <w:spacing w:before="60" w:after="60"/>
        <w:ind w:left="714" w:hanging="357"/>
      </w:pPr>
      <w:r w:rsidRPr="00D93770">
        <w:t>two or more Units, Employees or DB Group Entities; or</w:t>
      </w:r>
    </w:p>
    <w:p w14:paraId="7BA06C14" w14:textId="242819F0" w:rsidR="00D93770" w:rsidRPr="00302FD5" w:rsidRDefault="00D93770" w:rsidP="00FF30BA">
      <w:pPr>
        <w:numPr>
          <w:ilvl w:val="0"/>
          <w:numId w:val="29"/>
        </w:numPr>
        <w:spacing w:before="60" w:after="60"/>
        <w:ind w:left="714" w:hanging="357"/>
        <w:rPr>
          <w:lang w:val="de-DE"/>
        </w:rPr>
      </w:pPr>
      <w:r w:rsidRPr="00D93770">
        <w:rPr>
          <w:lang w:val="de-DE"/>
        </w:rPr>
        <w:t xml:space="preserve">Deutsche Bank AG and DB Group </w:t>
      </w:r>
      <w:proofErr w:type="spellStart"/>
      <w:r w:rsidRPr="00D93770">
        <w:rPr>
          <w:lang w:val="de-DE"/>
        </w:rPr>
        <w:t>Entities</w:t>
      </w:r>
      <w:proofErr w:type="spellEnd"/>
      <w:r w:rsidRPr="00D93770">
        <w:rPr>
          <w:lang w:val="de-DE"/>
        </w:rPr>
        <w:t>.</w:t>
      </w:r>
    </w:p>
    <w:p w14:paraId="3E3D6460" w14:textId="031F908B" w:rsidR="002E0028" w:rsidRPr="002E0028" w:rsidRDefault="002E0028" w:rsidP="00FF30BA">
      <w:pPr>
        <w:pStyle w:val="berschrift2"/>
        <w:rPr>
          <w:lang w:val="en-US"/>
        </w:rPr>
      </w:pPr>
      <w:bookmarkStart w:id="5" w:name="_Toc126708371"/>
      <w:bookmarkStart w:id="6" w:name="_Toc126712022"/>
      <w:bookmarkStart w:id="7" w:name="_Toc211502434"/>
      <w:r w:rsidRPr="002E0028">
        <w:rPr>
          <w:lang w:val="en-US"/>
        </w:rPr>
        <w:lastRenderedPageBreak/>
        <w:t>Conflicts of Interest scenarios (non-exhaustive)</w:t>
      </w:r>
      <w:bookmarkEnd w:id="5"/>
      <w:bookmarkEnd w:id="6"/>
      <w:bookmarkEnd w:id="7"/>
    </w:p>
    <w:p w14:paraId="54409D00" w14:textId="77777777" w:rsidR="002E0028" w:rsidRPr="002E0028" w:rsidRDefault="002E0028" w:rsidP="002E0028">
      <w:pPr>
        <w:rPr>
          <w:lang w:val="en-US"/>
        </w:rPr>
      </w:pPr>
      <w:r w:rsidRPr="002E0028">
        <w:rPr>
          <w:lang w:val="en-US"/>
        </w:rPr>
        <w:t>A non-exhaustive list of common Conflicts of Interest scenarios is set out below.</w:t>
      </w:r>
    </w:p>
    <w:p w14:paraId="4DD3F8F1" w14:textId="1E576EF0" w:rsidR="002E0028" w:rsidRPr="00F23D08" w:rsidRDefault="002E0028" w:rsidP="00F23D08">
      <w:pPr>
        <w:pStyle w:val="berschrift3"/>
        <w:rPr>
          <w:lang w:val="en-US"/>
        </w:rPr>
      </w:pPr>
      <w:bookmarkStart w:id="8" w:name="_Toc126708372"/>
      <w:bookmarkStart w:id="9" w:name="_Toc126712023"/>
      <w:r w:rsidRPr="00F23D08">
        <w:rPr>
          <w:lang w:val="en-US"/>
        </w:rPr>
        <w:t>Client-related conflicts</w:t>
      </w:r>
      <w:bookmarkEnd w:id="8"/>
      <w:bookmarkEnd w:id="9"/>
    </w:p>
    <w:p w14:paraId="58021DA0" w14:textId="77777777" w:rsidR="002E0028" w:rsidRDefault="002E0028" w:rsidP="002E0028">
      <w:pPr>
        <w:rPr>
          <w:lang w:val="en-US"/>
        </w:rPr>
      </w:pPr>
      <w:r w:rsidRPr="002E0028">
        <w:rPr>
          <w:lang w:val="en-US"/>
        </w:rPr>
        <w:t xml:space="preserve">Conflicts of Interest relating to Clients can be broadly described as scenarios where the Bank, an Employee or a </w:t>
      </w:r>
      <w:proofErr w:type="gramStart"/>
      <w:r w:rsidRPr="002E0028">
        <w:rPr>
          <w:lang w:val="en-US"/>
        </w:rPr>
        <w:t>Third Party</w:t>
      </w:r>
      <w:proofErr w:type="gramEnd"/>
      <w:r w:rsidRPr="002E0028">
        <w:rPr>
          <w:lang w:val="en-US"/>
        </w:rPr>
        <w:t xml:space="preserve"> Representative:</w:t>
      </w:r>
    </w:p>
    <w:p w14:paraId="4C8B8E75" w14:textId="77777777" w:rsidR="002E0028" w:rsidRPr="008D6F82" w:rsidRDefault="002E0028" w:rsidP="00FF30BA">
      <w:pPr>
        <w:pStyle w:val="Listenabsatz"/>
        <w:numPr>
          <w:ilvl w:val="0"/>
          <w:numId w:val="35"/>
        </w:numPr>
        <w:rPr>
          <w:lang w:val="en-US"/>
        </w:rPr>
      </w:pPr>
      <w:r w:rsidRPr="008D6F82">
        <w:rPr>
          <w:lang w:val="en-US"/>
        </w:rPr>
        <w:t xml:space="preserve">is likely to make an inappropriate financial gain or avoid financial loss at the expense of a </w:t>
      </w:r>
      <w:proofErr w:type="gramStart"/>
      <w:r w:rsidRPr="008D6F82">
        <w:rPr>
          <w:lang w:val="en-US"/>
        </w:rPr>
        <w:t>Client;</w:t>
      </w:r>
      <w:proofErr w:type="gramEnd"/>
    </w:p>
    <w:p w14:paraId="20E4F9B2" w14:textId="77777777" w:rsidR="002E0028" w:rsidRPr="008D6F82" w:rsidRDefault="002E0028" w:rsidP="00FF30BA">
      <w:pPr>
        <w:pStyle w:val="Listenabsatz"/>
        <w:numPr>
          <w:ilvl w:val="0"/>
          <w:numId w:val="35"/>
        </w:numPr>
        <w:rPr>
          <w:lang w:val="en-US"/>
        </w:rPr>
      </w:pPr>
      <w:r w:rsidRPr="008D6F82">
        <w:rPr>
          <w:lang w:val="en-US"/>
        </w:rPr>
        <w:t xml:space="preserve">has an interest in the outcome of a service provided to a </w:t>
      </w:r>
      <w:proofErr w:type="gramStart"/>
      <w:r w:rsidRPr="008D6F82">
        <w:rPr>
          <w:lang w:val="en-US"/>
        </w:rPr>
        <w:t>Client</w:t>
      </w:r>
      <w:proofErr w:type="gramEnd"/>
      <w:r w:rsidRPr="008D6F82">
        <w:rPr>
          <w:lang w:val="en-US"/>
        </w:rPr>
        <w:t xml:space="preserve"> or of a transaction carried out on behalf of a </w:t>
      </w:r>
      <w:proofErr w:type="gramStart"/>
      <w:r w:rsidRPr="008D6F82">
        <w:rPr>
          <w:lang w:val="en-US"/>
        </w:rPr>
        <w:t>Client</w:t>
      </w:r>
      <w:proofErr w:type="gramEnd"/>
      <w:r w:rsidRPr="008D6F82">
        <w:rPr>
          <w:lang w:val="en-US"/>
        </w:rPr>
        <w:t xml:space="preserve"> which is different from the Client’s interest in that </w:t>
      </w:r>
      <w:proofErr w:type="gramStart"/>
      <w:r w:rsidRPr="008D6F82">
        <w:rPr>
          <w:lang w:val="en-US"/>
        </w:rPr>
        <w:t>outcome;</w:t>
      </w:r>
      <w:proofErr w:type="gramEnd"/>
    </w:p>
    <w:p w14:paraId="0B4BD751" w14:textId="77777777" w:rsidR="002E0028" w:rsidRPr="008D6F82" w:rsidRDefault="002E0028" w:rsidP="00FF30BA">
      <w:pPr>
        <w:pStyle w:val="Listenabsatz"/>
        <w:numPr>
          <w:ilvl w:val="0"/>
          <w:numId w:val="35"/>
        </w:numPr>
        <w:rPr>
          <w:lang w:val="en-US"/>
        </w:rPr>
      </w:pPr>
      <w:r w:rsidRPr="008D6F82">
        <w:rPr>
          <w:lang w:val="en-US"/>
        </w:rPr>
        <w:t xml:space="preserve">has a financial or other incentive to </w:t>
      </w:r>
      <w:proofErr w:type="spellStart"/>
      <w:r w:rsidRPr="008D6F82">
        <w:rPr>
          <w:lang w:val="en-US"/>
        </w:rPr>
        <w:t>favour</w:t>
      </w:r>
      <w:proofErr w:type="spellEnd"/>
      <w:r w:rsidRPr="008D6F82">
        <w:rPr>
          <w:lang w:val="en-US"/>
        </w:rPr>
        <w:t xml:space="preserve"> the interest of a </w:t>
      </w:r>
      <w:proofErr w:type="gramStart"/>
      <w:r w:rsidRPr="008D6F82">
        <w:rPr>
          <w:lang w:val="en-US"/>
        </w:rPr>
        <w:t>Client</w:t>
      </w:r>
      <w:proofErr w:type="gramEnd"/>
      <w:r w:rsidRPr="008D6F82">
        <w:rPr>
          <w:lang w:val="en-US"/>
        </w:rPr>
        <w:t xml:space="preserve"> or group of Clients over the interests of another </w:t>
      </w:r>
      <w:proofErr w:type="gramStart"/>
      <w:r w:rsidRPr="008D6F82">
        <w:rPr>
          <w:lang w:val="en-US"/>
        </w:rPr>
        <w:t>Client;</w:t>
      </w:r>
      <w:proofErr w:type="gramEnd"/>
    </w:p>
    <w:p w14:paraId="778FF3FF" w14:textId="77777777" w:rsidR="002E0028" w:rsidRPr="008D6F82" w:rsidRDefault="002E0028" w:rsidP="00FF30BA">
      <w:pPr>
        <w:pStyle w:val="Listenabsatz"/>
        <w:numPr>
          <w:ilvl w:val="0"/>
          <w:numId w:val="35"/>
        </w:numPr>
        <w:rPr>
          <w:lang w:val="en-US"/>
        </w:rPr>
      </w:pPr>
      <w:r w:rsidRPr="008D6F82">
        <w:rPr>
          <w:lang w:val="en-US"/>
        </w:rPr>
        <w:t xml:space="preserve">carries on the same business as a </w:t>
      </w:r>
      <w:proofErr w:type="gramStart"/>
      <w:r w:rsidRPr="008D6F82">
        <w:rPr>
          <w:lang w:val="en-US"/>
        </w:rPr>
        <w:t>Client;</w:t>
      </w:r>
      <w:proofErr w:type="gramEnd"/>
    </w:p>
    <w:p w14:paraId="17C83943" w14:textId="77777777" w:rsidR="002E0028" w:rsidRDefault="002E0028" w:rsidP="00FF30BA">
      <w:pPr>
        <w:pStyle w:val="Listenabsatz"/>
        <w:numPr>
          <w:ilvl w:val="0"/>
          <w:numId w:val="35"/>
        </w:numPr>
        <w:rPr>
          <w:lang w:val="en-US"/>
        </w:rPr>
      </w:pPr>
      <w:r w:rsidRPr="008D6F82">
        <w:rPr>
          <w:lang w:val="en-US"/>
        </w:rPr>
        <w:t>receives or will receive from a person (other than the Client) an inducement in relation to a service provided to the Client, in the form of monies, goods or services, other than a standard commission or fee for that service; or</w:t>
      </w:r>
    </w:p>
    <w:p w14:paraId="5C11E6B1" w14:textId="3F7572F7" w:rsidR="002E0028" w:rsidRPr="002E0028" w:rsidRDefault="002E0028" w:rsidP="00FF30BA">
      <w:pPr>
        <w:pStyle w:val="Listenabsatz"/>
        <w:numPr>
          <w:ilvl w:val="0"/>
          <w:numId w:val="35"/>
        </w:numPr>
        <w:rPr>
          <w:lang w:val="en-US"/>
        </w:rPr>
      </w:pPr>
      <w:r w:rsidRPr="002E0028">
        <w:rPr>
          <w:lang w:val="en-US"/>
        </w:rPr>
        <w:t xml:space="preserve">has a financial or other incentive to </w:t>
      </w:r>
      <w:proofErr w:type="spellStart"/>
      <w:r w:rsidRPr="002E0028">
        <w:rPr>
          <w:lang w:val="en-US"/>
        </w:rPr>
        <w:t>favour</w:t>
      </w:r>
      <w:proofErr w:type="spellEnd"/>
      <w:r w:rsidRPr="002E0028">
        <w:rPr>
          <w:lang w:val="en-US"/>
        </w:rPr>
        <w:t xml:space="preserve"> the sale of a particular product or service to a </w:t>
      </w:r>
      <w:proofErr w:type="gramStart"/>
      <w:r w:rsidRPr="002E0028">
        <w:rPr>
          <w:lang w:val="en-US"/>
        </w:rPr>
        <w:t>Client</w:t>
      </w:r>
      <w:proofErr w:type="gramEnd"/>
      <w:r w:rsidRPr="002E0028">
        <w:rPr>
          <w:lang w:val="en-US"/>
        </w:rPr>
        <w:t xml:space="preserve"> which is not in the best interest of the Client.</w:t>
      </w:r>
    </w:p>
    <w:p w14:paraId="0EC40DE5" w14:textId="77777777" w:rsidR="002E0028" w:rsidRPr="002E0028" w:rsidRDefault="002E0028" w:rsidP="00FF30BA">
      <w:pPr>
        <w:pStyle w:val="berschrift3"/>
        <w:rPr>
          <w:lang w:val="en-US"/>
        </w:rPr>
      </w:pPr>
      <w:bookmarkStart w:id="10" w:name="_Toc126708373"/>
      <w:bookmarkStart w:id="11" w:name="_Toc126712024"/>
      <w:r w:rsidRPr="002E0028">
        <w:rPr>
          <w:lang w:val="en-US"/>
        </w:rPr>
        <w:t>Bank-related conflicts</w:t>
      </w:r>
      <w:bookmarkEnd w:id="10"/>
      <w:bookmarkEnd w:id="11"/>
    </w:p>
    <w:p w14:paraId="1255B02F" w14:textId="77777777" w:rsidR="002E0028" w:rsidRPr="002E0028" w:rsidRDefault="002E0028" w:rsidP="002E0028">
      <w:pPr>
        <w:rPr>
          <w:lang w:val="en-US"/>
        </w:rPr>
      </w:pPr>
      <w:r w:rsidRPr="002E0028">
        <w:rPr>
          <w:lang w:val="en-US"/>
        </w:rPr>
        <w:t>Conflicts of Interest relating to the Bank can be broadly described as scenarios where:</w:t>
      </w:r>
    </w:p>
    <w:p w14:paraId="7C54B211" w14:textId="77777777" w:rsidR="002E0028" w:rsidRPr="002E0028" w:rsidRDefault="002E0028" w:rsidP="00FF30BA">
      <w:pPr>
        <w:numPr>
          <w:ilvl w:val="0"/>
          <w:numId w:val="34"/>
        </w:numPr>
        <w:spacing w:before="60" w:after="60"/>
        <w:rPr>
          <w:lang w:val="en-US"/>
        </w:rPr>
      </w:pPr>
      <w:r w:rsidRPr="002E0028">
        <w:rPr>
          <w:lang w:val="en-US"/>
        </w:rPr>
        <w:t xml:space="preserve">an </w:t>
      </w:r>
      <w:proofErr w:type="gramStart"/>
      <w:r w:rsidRPr="002E0028">
        <w:rPr>
          <w:lang w:val="en-US"/>
        </w:rPr>
        <w:t>Employee’s</w:t>
      </w:r>
      <w:proofErr w:type="gramEnd"/>
      <w:r w:rsidRPr="002E0028">
        <w:rPr>
          <w:lang w:val="en-US"/>
        </w:rPr>
        <w:t xml:space="preserve"> interest in the outcome of a particular activity or </w:t>
      </w:r>
      <w:proofErr w:type="spellStart"/>
      <w:r w:rsidRPr="002E0028">
        <w:rPr>
          <w:lang w:val="en-US"/>
        </w:rPr>
        <w:t>endeavour</w:t>
      </w:r>
      <w:proofErr w:type="spellEnd"/>
      <w:r w:rsidRPr="002E0028">
        <w:rPr>
          <w:lang w:val="en-US"/>
        </w:rPr>
        <w:t xml:space="preserve"> differs from the Bank’s </w:t>
      </w:r>
      <w:proofErr w:type="gramStart"/>
      <w:r w:rsidRPr="002E0028">
        <w:rPr>
          <w:lang w:val="en-US"/>
        </w:rPr>
        <w:t>interest;</w:t>
      </w:r>
      <w:proofErr w:type="gramEnd"/>
    </w:p>
    <w:p w14:paraId="584042D1" w14:textId="77777777" w:rsidR="002E0028" w:rsidRPr="002E0028" w:rsidRDefault="002E0028" w:rsidP="00FF30BA">
      <w:pPr>
        <w:numPr>
          <w:ilvl w:val="0"/>
          <w:numId w:val="34"/>
        </w:numPr>
        <w:spacing w:before="60" w:after="60"/>
        <w:rPr>
          <w:lang w:val="en-US"/>
        </w:rPr>
      </w:pPr>
      <w:r w:rsidRPr="002E0028">
        <w:rPr>
          <w:lang w:val="en-US"/>
        </w:rPr>
        <w:t xml:space="preserve">an Employee (or, where applicable, a Family Member or Close Personal Relationship) receives </w:t>
      </w:r>
      <w:proofErr w:type="gramStart"/>
      <w:r w:rsidRPr="002E0028">
        <w:rPr>
          <w:lang w:val="en-US"/>
        </w:rPr>
        <w:t>a financial</w:t>
      </w:r>
      <w:proofErr w:type="gramEnd"/>
      <w:r w:rsidRPr="002E0028">
        <w:rPr>
          <w:lang w:val="en-US"/>
        </w:rPr>
        <w:t xml:space="preserve"> or other significant benefit </w:t>
      </w:r>
      <w:proofErr w:type="gramStart"/>
      <w:r w:rsidRPr="002E0028">
        <w:rPr>
          <w:lang w:val="en-US"/>
        </w:rPr>
        <w:t>as a result of</w:t>
      </w:r>
      <w:proofErr w:type="gramEnd"/>
      <w:r w:rsidRPr="002E0028">
        <w:rPr>
          <w:lang w:val="en-US"/>
        </w:rPr>
        <w:t xml:space="preserve"> the Employee’s position at the Bank that is inappropriate in </w:t>
      </w:r>
      <w:proofErr w:type="gramStart"/>
      <w:r w:rsidRPr="002E0028">
        <w:rPr>
          <w:lang w:val="en-US"/>
        </w:rPr>
        <w:t>nature;</w:t>
      </w:r>
      <w:proofErr w:type="gramEnd"/>
    </w:p>
    <w:p w14:paraId="34502385" w14:textId="77777777" w:rsidR="002E0028" w:rsidRPr="002E0028" w:rsidRDefault="002E0028" w:rsidP="00FF30BA">
      <w:pPr>
        <w:numPr>
          <w:ilvl w:val="0"/>
          <w:numId w:val="34"/>
        </w:numPr>
        <w:spacing w:before="60" w:after="60"/>
        <w:rPr>
          <w:lang w:val="en-US"/>
        </w:rPr>
      </w:pPr>
      <w:proofErr w:type="gramStart"/>
      <w:r w:rsidRPr="002E0028">
        <w:rPr>
          <w:lang w:val="en-US"/>
        </w:rPr>
        <w:t>an</w:t>
      </w:r>
      <w:proofErr w:type="gramEnd"/>
      <w:r w:rsidRPr="002E0028">
        <w:rPr>
          <w:lang w:val="en-US"/>
        </w:rPr>
        <w:t xml:space="preserve"> Employee </w:t>
      </w:r>
      <w:proofErr w:type="gramStart"/>
      <w:r w:rsidRPr="002E0028">
        <w:rPr>
          <w:lang w:val="en-US"/>
        </w:rPr>
        <w:t>has the opportunity to</w:t>
      </w:r>
      <w:proofErr w:type="gramEnd"/>
      <w:r w:rsidRPr="002E0028">
        <w:rPr>
          <w:lang w:val="en-US"/>
        </w:rPr>
        <w:t xml:space="preserve"> influence the </w:t>
      </w:r>
      <w:proofErr w:type="gramStart"/>
      <w:r w:rsidRPr="002E0028">
        <w:rPr>
          <w:lang w:val="en-US"/>
        </w:rPr>
        <w:t>Bank</w:t>
      </w:r>
      <w:proofErr w:type="gramEnd"/>
      <w:r w:rsidRPr="002E0028">
        <w:rPr>
          <w:lang w:val="en-US"/>
        </w:rPr>
        <w:t xml:space="preserve"> granting business or making administrative and other material decisions in a manner that leads to personal gain or advantage for the Employee or a Family Member or Close Personal </w:t>
      </w:r>
      <w:proofErr w:type="gramStart"/>
      <w:r w:rsidRPr="002E0028">
        <w:rPr>
          <w:lang w:val="en-US"/>
        </w:rPr>
        <w:t>Relationship;</w:t>
      </w:r>
      <w:proofErr w:type="gramEnd"/>
      <w:r w:rsidRPr="002E0028">
        <w:rPr>
          <w:lang w:val="en-US"/>
        </w:rPr>
        <w:t xml:space="preserve"> </w:t>
      </w:r>
    </w:p>
    <w:p w14:paraId="016F65C2" w14:textId="77777777" w:rsidR="002E0028" w:rsidRPr="002E0028" w:rsidRDefault="002E0028" w:rsidP="00FF30BA">
      <w:pPr>
        <w:numPr>
          <w:ilvl w:val="0"/>
          <w:numId w:val="34"/>
        </w:numPr>
        <w:spacing w:before="60" w:after="60"/>
        <w:rPr>
          <w:lang w:val="en-US"/>
        </w:rPr>
      </w:pPr>
      <w:r w:rsidRPr="002E0028">
        <w:rPr>
          <w:lang w:val="en-US"/>
        </w:rPr>
        <w:t xml:space="preserve">an Employee’s existing financial or other interest or previous engagement in an </w:t>
      </w:r>
      <w:proofErr w:type="spellStart"/>
      <w:r w:rsidRPr="002E0028">
        <w:rPr>
          <w:lang w:val="en-US"/>
        </w:rPr>
        <w:t>endeavour</w:t>
      </w:r>
      <w:proofErr w:type="spellEnd"/>
      <w:r w:rsidRPr="002E0028">
        <w:rPr>
          <w:lang w:val="en-US"/>
        </w:rPr>
        <w:t xml:space="preserve"> or activity or relationship with another person, impairs or could impair their judgment or objectivity in carrying out their duties and responsibilities to the </w:t>
      </w:r>
      <w:proofErr w:type="gramStart"/>
      <w:r w:rsidRPr="002E0028">
        <w:rPr>
          <w:lang w:val="en-US"/>
        </w:rPr>
        <w:t>Bank;</w:t>
      </w:r>
      <w:proofErr w:type="gramEnd"/>
    </w:p>
    <w:p w14:paraId="299F7F0C" w14:textId="77777777" w:rsidR="002E0028" w:rsidRPr="002E0028" w:rsidRDefault="002E0028" w:rsidP="00FF30BA">
      <w:pPr>
        <w:numPr>
          <w:ilvl w:val="0"/>
          <w:numId w:val="34"/>
        </w:numPr>
        <w:spacing w:before="60" w:after="60"/>
        <w:rPr>
          <w:lang w:val="en-US"/>
        </w:rPr>
      </w:pPr>
      <w:r w:rsidRPr="002E0028">
        <w:rPr>
          <w:lang w:val="en-US"/>
        </w:rPr>
        <w:t xml:space="preserve">an Employee </w:t>
      </w:r>
      <w:proofErr w:type="spellStart"/>
      <w:r w:rsidRPr="002E0028">
        <w:rPr>
          <w:lang w:val="en-US"/>
        </w:rPr>
        <w:t>favours</w:t>
      </w:r>
      <w:proofErr w:type="spellEnd"/>
      <w:r w:rsidRPr="002E0028">
        <w:rPr>
          <w:lang w:val="en-US"/>
        </w:rPr>
        <w:t xml:space="preserve"> interest of one Unit of the Bank over another Unit of the Bank which is inconsistent with the best interest of the Bank including in connection with the selection of Vendors; or</w:t>
      </w:r>
    </w:p>
    <w:p w14:paraId="426A6A65" w14:textId="04BBFB2C" w:rsidR="002E0028" w:rsidRPr="00FF30BA" w:rsidRDefault="002E0028" w:rsidP="00FF30BA">
      <w:pPr>
        <w:numPr>
          <w:ilvl w:val="0"/>
          <w:numId w:val="34"/>
        </w:numPr>
        <w:spacing w:before="60" w:after="60"/>
        <w:rPr>
          <w:lang w:val="en-US"/>
        </w:rPr>
      </w:pPr>
      <w:proofErr w:type="gramStart"/>
      <w:r w:rsidRPr="002E0028">
        <w:rPr>
          <w:lang w:val="en-US"/>
        </w:rPr>
        <w:t>a Conflict</w:t>
      </w:r>
      <w:proofErr w:type="gramEnd"/>
      <w:r w:rsidRPr="002E0028">
        <w:rPr>
          <w:lang w:val="en-US"/>
        </w:rPr>
        <w:t xml:space="preserve"> of Interest arises in connection with a transaction or arrangement </w:t>
      </w:r>
      <w:proofErr w:type="gramStart"/>
      <w:r w:rsidRPr="002E0028">
        <w:rPr>
          <w:lang w:val="en-US"/>
        </w:rPr>
        <w:t>entered into</w:t>
      </w:r>
      <w:proofErr w:type="gramEnd"/>
      <w:r w:rsidRPr="002E0028">
        <w:rPr>
          <w:lang w:val="en-US"/>
        </w:rPr>
        <w:t xml:space="preserve"> between the Bank and a material shareholder or between DB Group Entities due to the close relationship between the parties</w:t>
      </w:r>
    </w:p>
    <w:p w14:paraId="5485C2C3" w14:textId="3F2FEF3A" w:rsidR="00C937A5" w:rsidRDefault="00C937A5" w:rsidP="006537E5">
      <w:pPr>
        <w:pStyle w:val="berschrift1"/>
      </w:pPr>
      <w:bookmarkStart w:id="12" w:name="_Toc211502435"/>
      <w:r>
        <w:t>Approach to Conflicts Management</w:t>
      </w:r>
      <w:bookmarkEnd w:id="12"/>
    </w:p>
    <w:p w14:paraId="6D3EF1BA" w14:textId="77777777" w:rsidR="00C937A5" w:rsidRDefault="00C937A5" w:rsidP="00C937A5">
      <w:r>
        <w:t xml:space="preserve">The Bank seeks to ensure that a Conflict of Interest does not adversely affect the interests of Clients, the Bank, its shareholders or other stakeholders through the identification, prevention or management of the Conflict of Interest. </w:t>
      </w:r>
    </w:p>
    <w:p w14:paraId="22CC5A31" w14:textId="77777777" w:rsidR="00C937A5" w:rsidRDefault="00C937A5" w:rsidP="00C937A5">
      <w:r>
        <w:t xml:space="preserve">Some Conflicts of Interest are not permitted as a matter of law or </w:t>
      </w:r>
      <w:proofErr w:type="gramStart"/>
      <w:r>
        <w:t>regulation</w:t>
      </w:r>
      <w:proofErr w:type="gramEnd"/>
      <w:r>
        <w:t xml:space="preserve"> and others are permitted so long as the Bank has appropriate means by which to manage them. The Bank may </w:t>
      </w:r>
      <w:r>
        <w:lastRenderedPageBreak/>
        <w:t xml:space="preserve">utilise </w:t>
      </w:r>
      <w:proofErr w:type="gramStart"/>
      <w:r>
        <w:t>a number of</w:t>
      </w:r>
      <w:proofErr w:type="gramEnd"/>
      <w:r>
        <w:t xml:space="preserve"> means (which may be used individually or in combination) to manage a Conflict of Interest including:</w:t>
      </w:r>
    </w:p>
    <w:p w14:paraId="14ACD9C1" w14:textId="621B721D" w:rsidR="00C937A5" w:rsidRDefault="00C937A5" w:rsidP="00C937A5">
      <w:pPr>
        <w:pStyle w:val="Listenabsatz"/>
        <w:numPr>
          <w:ilvl w:val="0"/>
          <w:numId w:val="36"/>
        </w:numPr>
      </w:pPr>
      <w:r>
        <w:t xml:space="preserve">organisational arrangements which are described in </w:t>
      </w:r>
      <w:r w:rsidR="0000543E">
        <w:t xml:space="preserve">Section </w:t>
      </w:r>
      <w:proofErr w:type="gramStart"/>
      <w:r w:rsidR="0000543E">
        <w:t>5</w:t>
      </w:r>
      <w:r>
        <w:t>;</w:t>
      </w:r>
      <w:proofErr w:type="gramEnd"/>
    </w:p>
    <w:p w14:paraId="462A6D52" w14:textId="540F0CDD" w:rsidR="00C937A5" w:rsidRDefault="00C937A5" w:rsidP="00C937A5">
      <w:pPr>
        <w:pStyle w:val="Listenabsatz"/>
        <w:numPr>
          <w:ilvl w:val="0"/>
          <w:numId w:val="36"/>
        </w:numPr>
      </w:pPr>
      <w:r>
        <w:t xml:space="preserve">policies, procedures, systems and controls which are described in </w:t>
      </w:r>
      <w:r w:rsidR="0000543E">
        <w:t xml:space="preserve">Section </w:t>
      </w:r>
      <w:proofErr w:type="gramStart"/>
      <w:r w:rsidR="0000543E">
        <w:t>6</w:t>
      </w:r>
      <w:r>
        <w:t>;</w:t>
      </w:r>
      <w:proofErr w:type="gramEnd"/>
    </w:p>
    <w:p w14:paraId="4239EF0B" w14:textId="556C0B53" w:rsidR="00C937A5" w:rsidRDefault="00C937A5" w:rsidP="00C937A5">
      <w:pPr>
        <w:pStyle w:val="Listenabsatz"/>
        <w:numPr>
          <w:ilvl w:val="0"/>
          <w:numId w:val="36"/>
        </w:numPr>
      </w:pPr>
      <w:r>
        <w:t xml:space="preserve">disclosure designed to inform the affected parties of the Conflict of Interest and its likely impact on them which is described in </w:t>
      </w:r>
      <w:r w:rsidR="0000543E">
        <w:t>Section 6.1.2</w:t>
      </w:r>
      <w:r>
        <w:t xml:space="preserve">; or  </w:t>
      </w:r>
    </w:p>
    <w:p w14:paraId="76EDEC9E" w14:textId="75C21631" w:rsidR="00C937A5" w:rsidRPr="00C937A5" w:rsidRDefault="00C937A5" w:rsidP="00FF30BA">
      <w:pPr>
        <w:pStyle w:val="Listenabsatz"/>
        <w:numPr>
          <w:ilvl w:val="0"/>
          <w:numId w:val="36"/>
        </w:numPr>
      </w:pPr>
      <w:r>
        <w:t>avoidance of the service, activity or matter giving rise to the Conflict of Interest where the Conflict of Interest cannot be prevented or managed effectively using other means.</w:t>
      </w:r>
    </w:p>
    <w:p w14:paraId="02C34765" w14:textId="12A9F733" w:rsidR="00D31F7B" w:rsidRDefault="00C937A5" w:rsidP="006537E5">
      <w:pPr>
        <w:pStyle w:val="berschrift1"/>
      </w:pPr>
      <w:bookmarkStart w:id="13" w:name="_Toc211502436"/>
      <w:r>
        <w:t>Employee Responsibilities</w:t>
      </w:r>
      <w:bookmarkEnd w:id="13"/>
    </w:p>
    <w:p w14:paraId="1FC4B1A7" w14:textId="4C057F81" w:rsidR="005D5BB3" w:rsidRDefault="005D5BB3" w:rsidP="00FF30BA">
      <w:pPr>
        <w:pStyle w:val="berschrift2"/>
      </w:pPr>
      <w:bookmarkStart w:id="14" w:name="_Toc211502437"/>
      <w:r>
        <w:t>All Employees</w:t>
      </w:r>
      <w:bookmarkEnd w:id="14"/>
    </w:p>
    <w:p w14:paraId="205F1DDB" w14:textId="1D7B56FC" w:rsidR="005D5BB3" w:rsidRPr="00FF30BA" w:rsidRDefault="005D5BB3" w:rsidP="005D5BB3">
      <w:r w:rsidRPr="00FF30BA">
        <w:t>All Employees of the Bank are responsible for identifying and managing Conflicts of Interest on an ongoing basis.</w:t>
      </w:r>
    </w:p>
    <w:p w14:paraId="7C092BB4" w14:textId="5ABE2FA0" w:rsidR="005D5BB3" w:rsidRPr="00FF30BA" w:rsidRDefault="005D5BB3" w:rsidP="005D5BB3">
      <w:r w:rsidRPr="00FF30BA">
        <w:t>The Bank requires Employees to:</w:t>
      </w:r>
    </w:p>
    <w:p w14:paraId="06DE8DBB" w14:textId="77777777" w:rsidR="005D5BB3" w:rsidRPr="00FF30BA" w:rsidRDefault="005D5BB3" w:rsidP="00FF30BA">
      <w:pPr>
        <w:numPr>
          <w:ilvl w:val="0"/>
          <w:numId w:val="46"/>
        </w:numPr>
      </w:pPr>
      <w:r w:rsidRPr="00FF30BA">
        <w:t xml:space="preserve">act with integrity and exercise good judgement and </w:t>
      </w:r>
      <w:proofErr w:type="gramStart"/>
      <w:r w:rsidRPr="00FF30BA">
        <w:t>discretion;</w:t>
      </w:r>
      <w:proofErr w:type="gramEnd"/>
    </w:p>
    <w:p w14:paraId="22F003CB" w14:textId="77777777" w:rsidR="005D5BB3" w:rsidRPr="00FF30BA" w:rsidRDefault="005D5BB3" w:rsidP="00FF30BA">
      <w:pPr>
        <w:numPr>
          <w:ilvl w:val="0"/>
          <w:numId w:val="46"/>
        </w:numPr>
      </w:pPr>
      <w:r w:rsidRPr="00FF30BA">
        <w:t xml:space="preserve">act with the requisite degree of independence and objectivity when discharging their responsibilities at the </w:t>
      </w:r>
      <w:proofErr w:type="gramStart"/>
      <w:r w:rsidRPr="00FF30BA">
        <w:t>Bank;</w:t>
      </w:r>
      <w:proofErr w:type="gramEnd"/>
    </w:p>
    <w:p w14:paraId="6CCE59CF" w14:textId="77777777" w:rsidR="005D5BB3" w:rsidRPr="00FF30BA" w:rsidRDefault="005D5BB3" w:rsidP="00FF30BA">
      <w:pPr>
        <w:numPr>
          <w:ilvl w:val="0"/>
          <w:numId w:val="46"/>
        </w:numPr>
      </w:pPr>
      <w:r w:rsidRPr="00FF30BA">
        <w:t>avoid, wherever possible, situations giving rise to Conflicts of Interest due to any of the following:</w:t>
      </w:r>
    </w:p>
    <w:p w14:paraId="43585CF3" w14:textId="77777777" w:rsidR="005D5BB3" w:rsidRPr="00FF30BA" w:rsidRDefault="005D5BB3" w:rsidP="00FF30BA">
      <w:pPr>
        <w:numPr>
          <w:ilvl w:val="1"/>
          <w:numId w:val="46"/>
        </w:numPr>
      </w:pPr>
      <w:r w:rsidRPr="00FF30BA">
        <w:t xml:space="preserve">personal financial </w:t>
      </w:r>
      <w:proofErr w:type="gramStart"/>
      <w:r w:rsidRPr="00FF30BA">
        <w:t>interest;</w:t>
      </w:r>
      <w:proofErr w:type="gramEnd"/>
    </w:p>
    <w:p w14:paraId="2FF2AEC5" w14:textId="77777777" w:rsidR="005D5BB3" w:rsidRPr="00FF30BA" w:rsidRDefault="005D5BB3" w:rsidP="00FF30BA">
      <w:pPr>
        <w:numPr>
          <w:ilvl w:val="1"/>
          <w:numId w:val="46"/>
        </w:numPr>
      </w:pPr>
      <w:r w:rsidRPr="00FF30BA">
        <w:t xml:space="preserve">Family Members or Close Personal </w:t>
      </w:r>
      <w:proofErr w:type="gramStart"/>
      <w:r w:rsidRPr="00FF30BA">
        <w:t>Relationships;</w:t>
      </w:r>
      <w:proofErr w:type="gramEnd"/>
    </w:p>
    <w:p w14:paraId="0C2782E7" w14:textId="77777777" w:rsidR="005D5BB3" w:rsidRPr="00FF30BA" w:rsidRDefault="005D5BB3" w:rsidP="00FF30BA">
      <w:pPr>
        <w:numPr>
          <w:ilvl w:val="1"/>
          <w:numId w:val="46"/>
        </w:numPr>
      </w:pPr>
      <w:r w:rsidRPr="00FF30BA">
        <w:t>previous, current or potential future involvement in an activity or endeavour (whether at the Bank or externally); or</w:t>
      </w:r>
    </w:p>
    <w:p w14:paraId="62D58865" w14:textId="77777777" w:rsidR="005D5BB3" w:rsidRPr="00FF30BA" w:rsidRDefault="005D5BB3" w:rsidP="00FF30BA">
      <w:pPr>
        <w:numPr>
          <w:ilvl w:val="1"/>
          <w:numId w:val="46"/>
        </w:numPr>
      </w:pPr>
      <w:r w:rsidRPr="00FF30BA">
        <w:t xml:space="preserve">different roles and responsibilities at the </w:t>
      </w:r>
      <w:proofErr w:type="gramStart"/>
      <w:r w:rsidRPr="00FF30BA">
        <w:t>Bank;</w:t>
      </w:r>
      <w:proofErr w:type="gramEnd"/>
      <w:r w:rsidRPr="00FF30BA">
        <w:t xml:space="preserve"> </w:t>
      </w:r>
    </w:p>
    <w:p w14:paraId="34DE788A" w14:textId="5C8A1F64" w:rsidR="005D5BB3" w:rsidRPr="00FF30BA" w:rsidRDefault="005D5BB3" w:rsidP="00FF30BA">
      <w:pPr>
        <w:numPr>
          <w:ilvl w:val="0"/>
          <w:numId w:val="46"/>
        </w:numPr>
      </w:pPr>
      <w:r w:rsidRPr="00FF30BA">
        <w:t xml:space="preserve">immediately notify their Supervisor and Compliance of the existence and general nature of a Conflict of </w:t>
      </w:r>
      <w:proofErr w:type="gramStart"/>
      <w:r w:rsidRPr="00FF30BA">
        <w:t>Interest;</w:t>
      </w:r>
      <w:proofErr w:type="gramEnd"/>
    </w:p>
    <w:p w14:paraId="55C3048C" w14:textId="77777777" w:rsidR="005D5BB3" w:rsidRPr="00FF30BA" w:rsidRDefault="005D5BB3" w:rsidP="00FF30BA">
      <w:pPr>
        <w:numPr>
          <w:ilvl w:val="0"/>
          <w:numId w:val="46"/>
        </w:numPr>
      </w:pPr>
      <w:r w:rsidRPr="00FF30BA">
        <w:t xml:space="preserve">immediately disclose Conflicts of Interest to the chairperson when participating in decision making fora and, if the chairperson so determines, remove themselves from the </w:t>
      </w:r>
      <w:proofErr w:type="gramStart"/>
      <w:r w:rsidRPr="00FF30BA">
        <w:t>decision making</w:t>
      </w:r>
      <w:proofErr w:type="gramEnd"/>
      <w:r w:rsidRPr="00FF30BA">
        <w:t xml:space="preserve"> process and not seek to influence such decisions any </w:t>
      </w:r>
      <w:proofErr w:type="gramStart"/>
      <w:r w:rsidRPr="00FF30BA">
        <w:t>further;</w:t>
      </w:r>
      <w:proofErr w:type="gramEnd"/>
      <w:r w:rsidRPr="00FF30BA">
        <w:t xml:space="preserve"> </w:t>
      </w:r>
    </w:p>
    <w:p w14:paraId="35925477" w14:textId="3DB6C838" w:rsidR="005D5BB3" w:rsidRPr="00FF30BA" w:rsidRDefault="005D5BB3" w:rsidP="00FF30BA">
      <w:pPr>
        <w:numPr>
          <w:ilvl w:val="0"/>
          <w:numId w:val="46"/>
        </w:numPr>
      </w:pPr>
      <w:r w:rsidRPr="00FF30BA">
        <w:t xml:space="preserve">manage work-related information </w:t>
      </w:r>
      <w:proofErr w:type="gramStart"/>
      <w:r w:rsidRPr="00FF30BA">
        <w:t>on the basis of</w:t>
      </w:r>
      <w:proofErr w:type="gramEnd"/>
      <w:r w:rsidRPr="00FF30BA">
        <w:t xml:space="preserve"> the Bank’s need-to-know principle, respecting information barriers and duties of confidentiality </w:t>
      </w:r>
      <w:proofErr w:type="gramStart"/>
      <w:r w:rsidRPr="00FF30BA">
        <w:t>at all times</w:t>
      </w:r>
      <w:proofErr w:type="gramEnd"/>
      <w:r w:rsidRPr="00FF30BA">
        <w:t xml:space="preserve">, in accordance with the </w:t>
      </w:r>
      <w:r w:rsidRPr="000C16AA">
        <w:t xml:space="preserve">Misuse of Client Confidential, Deutsche Bank Proprietary and Inside Information and Inside Dealing </w:t>
      </w:r>
      <w:proofErr w:type="gramStart"/>
      <w:r w:rsidRPr="000C16AA">
        <w:t>Policy</w:t>
      </w:r>
      <w:r w:rsidRPr="00FF30BA">
        <w:t>;</w:t>
      </w:r>
      <w:proofErr w:type="gramEnd"/>
      <w:r w:rsidRPr="00FF30BA">
        <w:t xml:space="preserve"> </w:t>
      </w:r>
    </w:p>
    <w:p w14:paraId="49BF1865" w14:textId="77777777" w:rsidR="005D5BB3" w:rsidRPr="00FF30BA" w:rsidRDefault="005D5BB3" w:rsidP="00FF30BA">
      <w:pPr>
        <w:numPr>
          <w:ilvl w:val="0"/>
          <w:numId w:val="46"/>
        </w:numPr>
      </w:pPr>
      <w:r w:rsidRPr="00FF30BA">
        <w:t xml:space="preserve">challenge and escalate promptly issues of concern to their supervisors and Compliance so that Conflicts of Interest may be appropriately reviewed, managed and </w:t>
      </w:r>
      <w:proofErr w:type="gramStart"/>
      <w:r w:rsidRPr="00FF30BA">
        <w:t>resolved;</w:t>
      </w:r>
      <w:proofErr w:type="gramEnd"/>
      <w:r w:rsidRPr="00FF30BA">
        <w:t xml:space="preserve"> </w:t>
      </w:r>
    </w:p>
    <w:p w14:paraId="4317B940" w14:textId="77777777" w:rsidR="005D5BB3" w:rsidRPr="00FF30BA" w:rsidRDefault="005D5BB3" w:rsidP="00FF30BA">
      <w:pPr>
        <w:numPr>
          <w:ilvl w:val="0"/>
          <w:numId w:val="46"/>
        </w:numPr>
      </w:pPr>
      <w:r w:rsidRPr="00FF30BA">
        <w:t xml:space="preserve">upon joining the Bank and on a periodic </w:t>
      </w:r>
      <w:proofErr w:type="gramStart"/>
      <w:r w:rsidRPr="00FF30BA">
        <w:t>basis</w:t>
      </w:r>
      <w:proofErr w:type="gramEnd"/>
      <w:r w:rsidRPr="00FF30BA">
        <w:t xml:space="preserve"> thereafter, complete all attestations required by Compliance; and </w:t>
      </w:r>
    </w:p>
    <w:p w14:paraId="002AAEEF" w14:textId="77777777" w:rsidR="005D5BB3" w:rsidRPr="00FF30BA" w:rsidRDefault="005D5BB3" w:rsidP="00FF30BA">
      <w:pPr>
        <w:numPr>
          <w:ilvl w:val="0"/>
          <w:numId w:val="46"/>
        </w:numPr>
      </w:pPr>
      <w:r w:rsidRPr="00FF30BA">
        <w:t>comply with applicable Rules which require transactions and arrangements between the Bank and a Related Party to be carried out on an independent, arms-length basis.</w:t>
      </w:r>
    </w:p>
    <w:p w14:paraId="0085C2C5" w14:textId="346012DE" w:rsidR="005D5BB3" w:rsidRPr="00FF30BA" w:rsidRDefault="005D5BB3" w:rsidP="005D5BB3">
      <w:r>
        <w:t xml:space="preserve">The Bank also requires that </w:t>
      </w:r>
      <w:r w:rsidRPr="00FF30BA">
        <w:t>Employees must not:</w:t>
      </w:r>
    </w:p>
    <w:p w14:paraId="268DBF09" w14:textId="77777777" w:rsidR="005D5BB3" w:rsidRPr="00FF30BA" w:rsidRDefault="005D5BB3" w:rsidP="00FF30BA">
      <w:pPr>
        <w:numPr>
          <w:ilvl w:val="0"/>
          <w:numId w:val="45"/>
        </w:numPr>
      </w:pPr>
      <w:r w:rsidRPr="00FF30BA">
        <w:lastRenderedPageBreak/>
        <w:t>be in a supervisory, subordinate or control relationship (having influence over conditions of employment) with closely related persons including Family Members or Close Personal Relationships; or</w:t>
      </w:r>
    </w:p>
    <w:p w14:paraId="2C6CF20B" w14:textId="3F8DF316" w:rsidR="005D5BB3" w:rsidRDefault="005D5BB3" w:rsidP="005D5BB3">
      <w:pPr>
        <w:numPr>
          <w:ilvl w:val="0"/>
          <w:numId w:val="45"/>
        </w:numPr>
      </w:pPr>
      <w:r w:rsidRPr="00FF30BA">
        <w:t xml:space="preserve">misuse information obtained </w:t>
      </w:r>
      <w:proofErr w:type="gramStart"/>
      <w:r w:rsidRPr="00FF30BA">
        <w:t>in the course of</w:t>
      </w:r>
      <w:proofErr w:type="gramEnd"/>
      <w:r w:rsidRPr="00FF30BA">
        <w:t xml:space="preserve"> working at the Bank including in connection with dealing in securities.</w:t>
      </w:r>
    </w:p>
    <w:p w14:paraId="282BC9D6" w14:textId="5671C665" w:rsidR="005D5BB3" w:rsidRDefault="005D5BB3" w:rsidP="005D5BB3">
      <w:pPr>
        <w:pStyle w:val="berschrift2"/>
      </w:pPr>
      <w:bookmarkStart w:id="15" w:name="_Toc211502438"/>
      <w:r>
        <w:t>Supervisors</w:t>
      </w:r>
      <w:bookmarkEnd w:id="15"/>
    </w:p>
    <w:p w14:paraId="1A776AEE" w14:textId="6674EE60" w:rsidR="005D5BB3" w:rsidRDefault="005D5BB3" w:rsidP="005D5BB3">
      <w:r>
        <w:t>The Bank requires Supervisors to</w:t>
      </w:r>
      <w:r w:rsidRPr="00953E68">
        <w:t>:</w:t>
      </w:r>
    </w:p>
    <w:p w14:paraId="724DE687" w14:textId="77777777" w:rsidR="005D5BB3" w:rsidRDefault="005D5BB3" w:rsidP="00FF30BA">
      <w:pPr>
        <w:pStyle w:val="Listenabsatz"/>
        <w:numPr>
          <w:ilvl w:val="0"/>
          <w:numId w:val="49"/>
        </w:numPr>
      </w:pPr>
      <w:r>
        <w:t xml:space="preserve">actively seek to identify, mitigate and, to the extent required by Unit procedures, document Conflicts of Interest in their area of responsibility, including in connection with any current or planned </w:t>
      </w:r>
      <w:proofErr w:type="gramStart"/>
      <w:r>
        <w:t>activities;</w:t>
      </w:r>
      <w:proofErr w:type="gramEnd"/>
    </w:p>
    <w:p w14:paraId="3191C07B" w14:textId="77777777" w:rsidR="005D5BB3" w:rsidRDefault="005D5BB3" w:rsidP="00FF30BA">
      <w:pPr>
        <w:pStyle w:val="Listenabsatz"/>
        <w:numPr>
          <w:ilvl w:val="0"/>
          <w:numId w:val="49"/>
        </w:numPr>
      </w:pPr>
      <w:r>
        <w:t xml:space="preserve">assess any Conflicts of Interest reported to them to determine if a Conflict of Interest </w:t>
      </w:r>
      <w:proofErr w:type="gramStart"/>
      <w:r>
        <w:t>exists;</w:t>
      </w:r>
      <w:proofErr w:type="gramEnd"/>
      <w:r>
        <w:t xml:space="preserve"> </w:t>
      </w:r>
    </w:p>
    <w:p w14:paraId="3F91F6D7" w14:textId="77777777" w:rsidR="005D5BB3" w:rsidRDefault="005D5BB3" w:rsidP="00FF30BA">
      <w:pPr>
        <w:pStyle w:val="Listenabsatz"/>
        <w:numPr>
          <w:ilvl w:val="0"/>
          <w:numId w:val="49"/>
        </w:numPr>
      </w:pPr>
      <w:r>
        <w:t xml:space="preserve">determine, after consulting Compliance and other control functions as required, the best course of action to resolve, manage or avoid the Conflict of Interest, including further escalation to a higher management authority where necessary or the (temporary or permanent) withdrawal of oversight of a given matter or activity from the Employee </w:t>
      </w:r>
      <w:proofErr w:type="gramStart"/>
      <w:r>
        <w:t>concerned;</w:t>
      </w:r>
      <w:proofErr w:type="gramEnd"/>
      <w:r>
        <w:t xml:space="preserve"> </w:t>
      </w:r>
    </w:p>
    <w:p w14:paraId="13FDFAB0" w14:textId="77777777" w:rsidR="005D5BB3" w:rsidRDefault="005D5BB3" w:rsidP="00FF30BA">
      <w:pPr>
        <w:pStyle w:val="Listenabsatz"/>
        <w:numPr>
          <w:ilvl w:val="0"/>
          <w:numId w:val="49"/>
        </w:numPr>
      </w:pPr>
      <w:r>
        <w:t xml:space="preserve">review on an annual basis or more regularly, if required, any reported Conflicts of Interest to ensure these are being managed in accordance with any agreed resolution; and </w:t>
      </w:r>
    </w:p>
    <w:p w14:paraId="21EE8CFF" w14:textId="3CB201DB" w:rsidR="005D5BB3" w:rsidRDefault="005D5BB3" w:rsidP="00FF30BA">
      <w:pPr>
        <w:pStyle w:val="Listenabsatz"/>
        <w:numPr>
          <w:ilvl w:val="0"/>
          <w:numId w:val="49"/>
        </w:numPr>
      </w:pPr>
      <w:r>
        <w:t>allocate responsibilities to Employees who report to them in a manner that does not lead to Conflicts of Interest and avoid allocation of responsibilities which will compromise the independence of control functions of the Bank.</w:t>
      </w:r>
    </w:p>
    <w:p w14:paraId="000AD394" w14:textId="62AE93B8" w:rsidR="001B7C8E" w:rsidRDefault="001B7C8E" w:rsidP="001B7C8E">
      <w:pPr>
        <w:pStyle w:val="berschrift2"/>
      </w:pPr>
      <w:bookmarkStart w:id="16" w:name="_Toc211502439"/>
      <w:r>
        <w:t>Senior Managers</w:t>
      </w:r>
      <w:bookmarkEnd w:id="16"/>
    </w:p>
    <w:p w14:paraId="20AD5894" w14:textId="4E309630" w:rsidR="001B7C8E" w:rsidRDefault="001B7C8E" w:rsidP="001B7C8E">
      <w:r>
        <w:t xml:space="preserve">Senior Managers of the Bank are responsible for overseeing the identification, documentation, escalation and management of all Conflicts of Interest as they arise within their relevant areas of responsibility at the Bank. </w:t>
      </w:r>
    </w:p>
    <w:p w14:paraId="352BF557" w14:textId="2475CF04" w:rsidR="001B7C8E" w:rsidRDefault="001B7C8E" w:rsidP="001B7C8E">
      <w:r>
        <w:t>The Bank requires Senior Managers to:</w:t>
      </w:r>
    </w:p>
    <w:p w14:paraId="726FE0B2" w14:textId="77777777" w:rsidR="001B7C8E" w:rsidRDefault="001B7C8E" w:rsidP="00FF30BA">
      <w:pPr>
        <w:pStyle w:val="Listenabsatz"/>
        <w:numPr>
          <w:ilvl w:val="0"/>
          <w:numId w:val="50"/>
        </w:numPr>
      </w:pPr>
      <w:r>
        <w:t xml:space="preserve">sponsor and encourage an appropriate culture which emphasizes the importance of ethical treatment of Clients and the fair handling of Conflicts of </w:t>
      </w:r>
      <w:proofErr w:type="gramStart"/>
      <w:r>
        <w:t>Interest;</w:t>
      </w:r>
      <w:proofErr w:type="gramEnd"/>
    </w:p>
    <w:p w14:paraId="490C018D" w14:textId="77777777" w:rsidR="001B7C8E" w:rsidRDefault="001B7C8E" w:rsidP="00FF30BA">
      <w:pPr>
        <w:pStyle w:val="Listenabsatz"/>
        <w:numPr>
          <w:ilvl w:val="0"/>
          <w:numId w:val="50"/>
        </w:numPr>
      </w:pPr>
      <w:r>
        <w:t xml:space="preserve">be engaged in the implementation of policies, procedures and arrangements for the identification, documentation, escalation, management and ongoing monitoring of Conflicts of </w:t>
      </w:r>
      <w:proofErr w:type="gramStart"/>
      <w:r>
        <w:t>Interest;</w:t>
      </w:r>
      <w:proofErr w:type="gramEnd"/>
    </w:p>
    <w:p w14:paraId="6CA465D9" w14:textId="77777777" w:rsidR="001B7C8E" w:rsidRDefault="001B7C8E" w:rsidP="00FF30BA">
      <w:pPr>
        <w:pStyle w:val="Listenabsatz"/>
        <w:numPr>
          <w:ilvl w:val="0"/>
          <w:numId w:val="50"/>
        </w:numPr>
      </w:pPr>
      <w:r>
        <w:t xml:space="preserve">be engaged in the clear communication of policies, procedures and expectations and the sharing of best practice throughout the </w:t>
      </w:r>
      <w:proofErr w:type="gramStart"/>
      <w:r>
        <w:t>Bank;</w:t>
      </w:r>
      <w:proofErr w:type="gramEnd"/>
    </w:p>
    <w:p w14:paraId="79E417AF" w14:textId="77777777" w:rsidR="001B7C8E" w:rsidRDefault="001B7C8E" w:rsidP="00FF30BA">
      <w:pPr>
        <w:pStyle w:val="Listenabsatz"/>
        <w:numPr>
          <w:ilvl w:val="0"/>
          <w:numId w:val="50"/>
        </w:numPr>
      </w:pPr>
      <w:r>
        <w:t xml:space="preserve">adopt a holistic view to identifying potential and emerging Conflicts of Interest within and across Corporate Divisions and Infrastructure Functions and to facilitate informed judgements with respect to materiality and the </w:t>
      </w:r>
      <w:proofErr w:type="gramStart"/>
      <w:r>
        <w:t>manner in which</w:t>
      </w:r>
      <w:proofErr w:type="gramEnd"/>
      <w:r>
        <w:t xml:space="preserve"> conflicts are </w:t>
      </w:r>
      <w:proofErr w:type="gramStart"/>
      <w:r>
        <w:t>handled;</w:t>
      </w:r>
      <w:proofErr w:type="gramEnd"/>
    </w:p>
    <w:p w14:paraId="3E6D9D78" w14:textId="77777777" w:rsidR="001B7C8E" w:rsidRDefault="001B7C8E" w:rsidP="00FF30BA">
      <w:pPr>
        <w:pStyle w:val="Listenabsatz"/>
        <w:numPr>
          <w:ilvl w:val="0"/>
          <w:numId w:val="50"/>
        </w:numPr>
      </w:pPr>
      <w:r>
        <w:t xml:space="preserve">raise awareness and promote adherence of Employees in completing regular training both at induction and in the form of refresher </w:t>
      </w:r>
      <w:proofErr w:type="gramStart"/>
      <w:r>
        <w:t>training;</w:t>
      </w:r>
      <w:proofErr w:type="gramEnd"/>
      <w:r>
        <w:t xml:space="preserve"> </w:t>
      </w:r>
    </w:p>
    <w:p w14:paraId="0E3ED90B" w14:textId="77777777" w:rsidR="001B7C8E" w:rsidRDefault="001B7C8E" w:rsidP="00FF30BA">
      <w:pPr>
        <w:pStyle w:val="Listenabsatz"/>
        <w:numPr>
          <w:ilvl w:val="0"/>
          <w:numId w:val="50"/>
        </w:numPr>
      </w:pPr>
      <w:r>
        <w:t xml:space="preserve">sponsor systems and controls to document, track, manage and mitigate Conflicts of Interest risk, and regularly review their </w:t>
      </w:r>
      <w:proofErr w:type="gramStart"/>
      <w:r>
        <w:t>effectiveness;</w:t>
      </w:r>
      <w:proofErr w:type="gramEnd"/>
    </w:p>
    <w:p w14:paraId="3C275230" w14:textId="77777777" w:rsidR="001B7C8E" w:rsidRDefault="001B7C8E" w:rsidP="00FF30BA">
      <w:pPr>
        <w:pStyle w:val="Listenabsatz"/>
        <w:numPr>
          <w:ilvl w:val="0"/>
          <w:numId w:val="50"/>
        </w:numPr>
      </w:pPr>
      <w:r>
        <w:t>consider the implications and take corrective action, where required, in connection with performance measurements or incentive schemes that may incentivise an Employee to act contrary to the duties and responsibilities owed to the Bank and under applicable Rules; and</w:t>
      </w:r>
    </w:p>
    <w:p w14:paraId="74F809BB" w14:textId="05056CB0" w:rsidR="001B7C8E" w:rsidRDefault="001B7C8E" w:rsidP="001B7C8E">
      <w:pPr>
        <w:pStyle w:val="Listenabsatz"/>
        <w:numPr>
          <w:ilvl w:val="0"/>
          <w:numId w:val="50"/>
        </w:numPr>
      </w:pPr>
      <w:r>
        <w:lastRenderedPageBreak/>
        <w:t>utilise management information to remain sufficiently up-to-date and informed in connection with the matters listed above.</w:t>
      </w:r>
    </w:p>
    <w:p w14:paraId="38971B18" w14:textId="05EBF38D" w:rsidR="001B7C8E" w:rsidRDefault="001B7C8E" w:rsidP="001B7C8E">
      <w:pPr>
        <w:pStyle w:val="berschrift2"/>
      </w:pPr>
      <w:bookmarkStart w:id="17" w:name="_Toc198568601"/>
      <w:bookmarkStart w:id="18" w:name="_Toc211502440"/>
      <w:r w:rsidRPr="001B7C8E">
        <w:t>Board Members of DB Group Entities</w:t>
      </w:r>
      <w:bookmarkEnd w:id="17"/>
      <w:bookmarkEnd w:id="18"/>
    </w:p>
    <w:p w14:paraId="056CAEE0" w14:textId="1D97184E" w:rsidR="001B7C8E" w:rsidRPr="001B7C8E" w:rsidRDefault="001B7C8E" w:rsidP="001B7C8E">
      <w:r>
        <w:t xml:space="preserve">The Bank required </w:t>
      </w:r>
      <w:r w:rsidRPr="001B7C8E">
        <w:t xml:space="preserve">Board Members of DB Group Entities </w:t>
      </w:r>
      <w:r>
        <w:t>to</w:t>
      </w:r>
      <w:r w:rsidRPr="001B7C8E">
        <w:t>:</w:t>
      </w:r>
    </w:p>
    <w:p w14:paraId="357D6B31" w14:textId="77777777" w:rsidR="001B7C8E" w:rsidRPr="001B7C8E" w:rsidRDefault="001B7C8E" w:rsidP="00FF30BA">
      <w:pPr>
        <w:numPr>
          <w:ilvl w:val="0"/>
          <w:numId w:val="54"/>
        </w:numPr>
      </w:pPr>
      <w:proofErr w:type="gramStart"/>
      <w:r w:rsidRPr="001B7C8E">
        <w:t>generally</w:t>
      </w:r>
      <w:proofErr w:type="gramEnd"/>
      <w:r w:rsidRPr="001B7C8E">
        <w:t xml:space="preserve"> act in the best interest of the DB Group Entity they represent and ensure that procedures are in place so that transactions between the DB Group Entity and Deutsche Bank AG and/or another DB Group Entity are generally undertaken only on an arms-length basis. In this context, a Board Member of a DB Group Entity: </w:t>
      </w:r>
    </w:p>
    <w:p w14:paraId="278609E6" w14:textId="77777777" w:rsidR="001B7C8E" w:rsidRPr="001B7C8E" w:rsidRDefault="001B7C8E" w:rsidP="00FF30BA">
      <w:pPr>
        <w:numPr>
          <w:ilvl w:val="1"/>
          <w:numId w:val="54"/>
        </w:numPr>
      </w:pPr>
      <w:r w:rsidRPr="001B7C8E">
        <w:t xml:space="preserve">may consider the aligned interests of the Bank as an element in their decision-making </w:t>
      </w:r>
      <w:proofErr w:type="gramStart"/>
      <w:r w:rsidRPr="001B7C8E">
        <w:t>process;</w:t>
      </w:r>
      <w:proofErr w:type="gramEnd"/>
      <w:r w:rsidRPr="001B7C8E">
        <w:t xml:space="preserve"> </w:t>
      </w:r>
    </w:p>
    <w:p w14:paraId="5C3680E3" w14:textId="77777777" w:rsidR="001B7C8E" w:rsidRPr="001B7C8E" w:rsidRDefault="001B7C8E" w:rsidP="00FF30BA">
      <w:pPr>
        <w:numPr>
          <w:ilvl w:val="1"/>
          <w:numId w:val="54"/>
        </w:numPr>
      </w:pPr>
      <w:r w:rsidRPr="001B7C8E">
        <w:t>may give the Bank’s interest significant weight where the Board Member considers this to be in the best interest of the relevant DB Group Entity; and</w:t>
      </w:r>
    </w:p>
    <w:p w14:paraId="31FB777B" w14:textId="77777777" w:rsidR="001B7C8E" w:rsidRPr="001B7C8E" w:rsidRDefault="001B7C8E" w:rsidP="00FF30BA">
      <w:pPr>
        <w:numPr>
          <w:ilvl w:val="1"/>
          <w:numId w:val="54"/>
        </w:numPr>
      </w:pPr>
      <w:r w:rsidRPr="001B7C8E">
        <w:t xml:space="preserve">has the responsibility to weigh the merits of the DB Group Entity’s interests and the Bank's interests in the decision-making </w:t>
      </w:r>
      <w:proofErr w:type="gramStart"/>
      <w:r w:rsidRPr="001B7C8E">
        <w:t>process;</w:t>
      </w:r>
      <w:proofErr w:type="gramEnd"/>
    </w:p>
    <w:p w14:paraId="17237C8F" w14:textId="77777777" w:rsidR="001B7C8E" w:rsidRPr="001B7C8E" w:rsidRDefault="001B7C8E" w:rsidP="00FF30BA">
      <w:pPr>
        <w:numPr>
          <w:ilvl w:val="0"/>
          <w:numId w:val="54"/>
        </w:numPr>
      </w:pPr>
      <w:r w:rsidRPr="001B7C8E">
        <w:t xml:space="preserve">ensure that business decisions are unaffected by Conflicts of Interest and must therefore: </w:t>
      </w:r>
    </w:p>
    <w:p w14:paraId="476E2961" w14:textId="77777777" w:rsidR="001B7C8E" w:rsidRPr="001B7C8E" w:rsidRDefault="001B7C8E" w:rsidP="00FF30BA">
      <w:pPr>
        <w:numPr>
          <w:ilvl w:val="1"/>
          <w:numId w:val="54"/>
        </w:numPr>
      </w:pPr>
      <w:r w:rsidRPr="001B7C8E">
        <w:t xml:space="preserve">proactively identify Conflicts of Interest resulting from their Board position (whether as a member of the management or the supervisory function) and disclose such Conflicts of Interest as required by the applicable terms of reference and Rules; and </w:t>
      </w:r>
    </w:p>
    <w:p w14:paraId="68364740" w14:textId="77777777" w:rsidR="001B7C8E" w:rsidRPr="001B7C8E" w:rsidRDefault="001B7C8E" w:rsidP="00FF30BA">
      <w:pPr>
        <w:numPr>
          <w:ilvl w:val="1"/>
          <w:numId w:val="54"/>
        </w:numPr>
      </w:pPr>
      <w:r w:rsidRPr="001B7C8E">
        <w:t>refrain from any action that might be detrimental to the DB Group Entity for which they are a Board Member. Material Conflicts of Interest, individually and collectively, should be adequately documented, communicated to, discussed and duly managed by the relevant Board.</w:t>
      </w:r>
    </w:p>
    <w:p w14:paraId="05585A5D" w14:textId="38BD0776" w:rsidR="001B7C8E" w:rsidRPr="001B7C8E" w:rsidRDefault="001B7C8E" w:rsidP="001B7C8E">
      <w:r>
        <w:t xml:space="preserve">The Bank also requires that </w:t>
      </w:r>
      <w:r w:rsidRPr="001B7C8E">
        <w:t>Board Members of DB Group Entities must not:</w:t>
      </w:r>
    </w:p>
    <w:p w14:paraId="298F5BC8" w14:textId="77777777" w:rsidR="001B7C8E" w:rsidRPr="001B7C8E" w:rsidRDefault="001B7C8E" w:rsidP="00FF30BA">
      <w:pPr>
        <w:numPr>
          <w:ilvl w:val="0"/>
          <w:numId w:val="55"/>
        </w:numPr>
      </w:pPr>
      <w:r w:rsidRPr="001B7C8E">
        <w:t xml:space="preserve">in </w:t>
      </w:r>
      <w:proofErr w:type="gramStart"/>
      <w:r w:rsidRPr="001B7C8E">
        <w:t>general</w:t>
      </w:r>
      <w:proofErr w:type="gramEnd"/>
      <w:r w:rsidRPr="001B7C8E">
        <w:t xml:space="preserve"> be involved in any kind of business which is in competition with the DB Group Entity in which the Board membership is held without prior approval by the shareholders of the relevant DB Group Entity or the Board, as applicable under the relevant </w:t>
      </w:r>
      <w:proofErr w:type="gramStart"/>
      <w:r w:rsidRPr="001B7C8E">
        <w:t>Rules;</w:t>
      </w:r>
      <w:proofErr w:type="gramEnd"/>
    </w:p>
    <w:p w14:paraId="2569E08D" w14:textId="3232FB8C" w:rsidR="001B7C8E" w:rsidRPr="001B7C8E" w:rsidRDefault="001B7C8E" w:rsidP="00FF30BA">
      <w:pPr>
        <w:numPr>
          <w:ilvl w:val="0"/>
          <w:numId w:val="55"/>
        </w:numPr>
      </w:pPr>
      <w:r w:rsidRPr="001B7C8E">
        <w:t xml:space="preserve">represent the DB Group Entity in dealings with himself or herself, or with a third party represented by himself or herself, unless the relevant Rules permits such representation </w:t>
      </w:r>
      <w:proofErr w:type="gramStart"/>
      <w:r w:rsidRPr="001B7C8E">
        <w:t>on the basis of</w:t>
      </w:r>
      <w:proofErr w:type="gramEnd"/>
      <w:r w:rsidRPr="001B7C8E">
        <w:t xml:space="preserve"> consent (for example, by way of shareholders’, supervisory or unitary management board resolution) and such consent is granted.</w:t>
      </w:r>
    </w:p>
    <w:p w14:paraId="00BDD284" w14:textId="2C855AB5" w:rsidR="00C937A5" w:rsidRDefault="00C937A5" w:rsidP="00C937A5">
      <w:pPr>
        <w:pStyle w:val="berschrift1"/>
      </w:pPr>
      <w:bookmarkStart w:id="19" w:name="_Toc211502441"/>
      <w:r>
        <w:t>O</w:t>
      </w:r>
      <w:r w:rsidRPr="00C937A5">
        <w:t>rganisational arrangements relating to Conflicts of Interest</w:t>
      </w:r>
      <w:bookmarkEnd w:id="19"/>
    </w:p>
    <w:p w14:paraId="0D7EED02" w14:textId="56BDE493" w:rsidR="00C937A5" w:rsidRDefault="00C937A5" w:rsidP="00FF30BA">
      <w:pPr>
        <w:pStyle w:val="berschrift2"/>
      </w:pPr>
      <w:bookmarkStart w:id="20" w:name="_Toc126708376"/>
      <w:bookmarkStart w:id="21" w:name="_Toc126712027"/>
      <w:bookmarkStart w:id="22" w:name="_Toc211502442"/>
      <w:r>
        <w:t>Internal Governance Arrangements</w:t>
      </w:r>
      <w:bookmarkEnd w:id="20"/>
      <w:bookmarkEnd w:id="21"/>
      <w:bookmarkEnd w:id="22"/>
    </w:p>
    <w:p w14:paraId="595711B5" w14:textId="77777777" w:rsidR="00C937A5" w:rsidRDefault="00C937A5" w:rsidP="00FF30BA">
      <w:pPr>
        <w:pStyle w:val="berschrift3"/>
      </w:pPr>
      <w:bookmarkStart w:id="23" w:name="_Toc126708377"/>
      <w:bookmarkStart w:id="24" w:name="_Toc126712028"/>
      <w:r>
        <w:t>Board Governance</w:t>
      </w:r>
      <w:bookmarkEnd w:id="23"/>
      <w:bookmarkEnd w:id="24"/>
      <w:r>
        <w:t xml:space="preserve"> </w:t>
      </w:r>
    </w:p>
    <w:p w14:paraId="7C4F3E7E" w14:textId="729355A6" w:rsidR="00C937A5" w:rsidRPr="004D505D" w:rsidRDefault="00C937A5" w:rsidP="00C937A5">
      <w:pPr>
        <w:rPr>
          <w:color w:val="000000" w:themeColor="text1"/>
        </w:rPr>
      </w:pPr>
      <w:r w:rsidRPr="004D505D">
        <w:rPr>
          <w:color w:val="000000" w:themeColor="text1"/>
        </w:rPr>
        <w:t xml:space="preserve">The respective terms of reference for the </w:t>
      </w:r>
      <w:r w:rsidRPr="000C16AA">
        <w:rPr>
          <w:bCs/>
        </w:rPr>
        <w:t>Management Board</w:t>
      </w:r>
      <w:r w:rsidRPr="004D505D">
        <w:rPr>
          <w:bCs/>
          <w:color w:val="000000" w:themeColor="text1"/>
        </w:rPr>
        <w:t xml:space="preserve"> </w:t>
      </w:r>
      <w:r w:rsidRPr="004D505D">
        <w:rPr>
          <w:color w:val="000000" w:themeColor="text1"/>
        </w:rPr>
        <w:t xml:space="preserve">and the </w:t>
      </w:r>
      <w:r w:rsidRPr="000C16AA">
        <w:rPr>
          <w:bCs/>
        </w:rPr>
        <w:t>Supervisory Board</w:t>
      </w:r>
      <w:r w:rsidRPr="004D505D">
        <w:rPr>
          <w:color w:val="000000" w:themeColor="text1"/>
        </w:rPr>
        <w:t xml:space="preserve"> set out the obligations of these bodies relating to the management of Conflicts of Interest. The Supervisory Board is responsible for decisions with respect to Conflicts of Interest of Supervisory Board members in accordance with applicable law. In addition, minimum governance requirements for the Bank’s legal entity boards are set forth in the Board Governance Policy. </w:t>
      </w:r>
    </w:p>
    <w:p w14:paraId="071D5DA4" w14:textId="77777777" w:rsidR="00C937A5" w:rsidRDefault="00C937A5" w:rsidP="00FF30BA">
      <w:pPr>
        <w:pStyle w:val="berschrift3"/>
      </w:pPr>
      <w:bookmarkStart w:id="25" w:name="_Toc126708378"/>
      <w:bookmarkStart w:id="26" w:name="_Toc126712029"/>
      <w:r>
        <w:lastRenderedPageBreak/>
        <w:t>Segregation of Functions and Duties</w:t>
      </w:r>
      <w:bookmarkEnd w:id="25"/>
      <w:bookmarkEnd w:id="26"/>
    </w:p>
    <w:p w14:paraId="0C9E056B" w14:textId="27ED7EBE" w:rsidR="00C937A5" w:rsidRDefault="00C937A5" w:rsidP="00C937A5">
      <w:r>
        <w:t xml:space="preserve">The Bank structurally segregates its </w:t>
      </w:r>
      <w:r w:rsidR="004A1734">
        <w:t>Corporate Division</w:t>
      </w:r>
      <w:r>
        <w:t>s and Infrastructure Functions to allow for their independence. This segregation is reflected in the composition of the Management Board, its terms of reference and the Management Board’s Business Allocation Plan. Under the Risk Management Principles, the Bank also operates an internal control environment underpinned by a “</w:t>
      </w:r>
      <w:r w:rsidR="0031668D">
        <w:t>t</w:t>
      </w:r>
      <w:r>
        <w:t xml:space="preserve">hree </w:t>
      </w:r>
      <w:r w:rsidR="0031668D">
        <w:t>l</w:t>
      </w:r>
      <w:r>
        <w:t xml:space="preserve">ines of </w:t>
      </w:r>
      <w:r w:rsidR="0031668D">
        <w:t>d</w:t>
      </w:r>
      <w:r>
        <w:t xml:space="preserve">efence” framework that requires the independence of control functions, including Compliance, Risk, and </w:t>
      </w:r>
      <w:r w:rsidR="00B23D28">
        <w:t xml:space="preserve">Group </w:t>
      </w:r>
      <w:r>
        <w:t>Audit.</w:t>
      </w:r>
    </w:p>
    <w:p w14:paraId="25428D20" w14:textId="3746E456" w:rsidR="00C937A5" w:rsidRDefault="00C937A5" w:rsidP="00C937A5">
      <w:r>
        <w:t xml:space="preserve">Additionally, </w:t>
      </w:r>
      <w:r w:rsidR="004A1734">
        <w:t>Corporate Division</w:t>
      </w:r>
      <w:r>
        <w:t xml:space="preserve">s implement policies and procedures and systems and controls so that one person or Unit does not execute all phases of a transaction, including applying a “four eyes” principle to avoid or mitigate the risk of asset or information loss. </w:t>
      </w:r>
    </w:p>
    <w:p w14:paraId="052CC165" w14:textId="77777777" w:rsidR="00C937A5" w:rsidRDefault="00C937A5" w:rsidP="00FF30BA">
      <w:pPr>
        <w:pStyle w:val="berschrift3"/>
      </w:pPr>
      <w:bookmarkStart w:id="27" w:name="_Toc126708379"/>
      <w:bookmarkStart w:id="28" w:name="_Toc126712030"/>
      <w:r>
        <w:t>Committee Governance</w:t>
      </w:r>
      <w:bookmarkEnd w:id="27"/>
      <w:bookmarkEnd w:id="28"/>
    </w:p>
    <w:p w14:paraId="2103FF15" w14:textId="77777777" w:rsidR="00C937A5" w:rsidRDefault="00C937A5" w:rsidP="00C937A5">
      <w:r>
        <w:t xml:space="preserve">Each committee of the Bank is required by the Bank’s Committee Governance Policy to have terms of reference in place. These terms must include the requirement for members of committees to consider potential Conflicts of Interest when determining the composition of the committee, </w:t>
      </w:r>
      <w:proofErr w:type="gramStart"/>
      <w:r>
        <w:t>taking into account</w:t>
      </w:r>
      <w:proofErr w:type="gramEnd"/>
      <w:r>
        <w:t xml:space="preserve"> the tasks and responsibilities of that committee. Further, the terms of reference must require committee members to disclose potential Conflicts of Interest on an ongoing basis to the chairperson and for the chairperson to take appropriate action to resolve such Conflicts of Interest. </w:t>
      </w:r>
    </w:p>
    <w:p w14:paraId="315D95BB" w14:textId="77777777" w:rsidR="00C937A5" w:rsidRDefault="00C937A5" w:rsidP="00FF30BA">
      <w:pPr>
        <w:pStyle w:val="berschrift2"/>
      </w:pPr>
      <w:bookmarkStart w:id="29" w:name="_Toc126708380"/>
      <w:bookmarkStart w:id="30" w:name="_Toc126712031"/>
      <w:bookmarkStart w:id="31" w:name="_Toc211502443"/>
      <w:r>
        <w:t>Conflicts of Interest Group-wide Minimum Standards Framework</w:t>
      </w:r>
      <w:bookmarkEnd w:id="29"/>
      <w:bookmarkEnd w:id="30"/>
      <w:bookmarkEnd w:id="31"/>
    </w:p>
    <w:p w14:paraId="6E45FD40" w14:textId="77777777" w:rsidR="00C937A5" w:rsidRDefault="00C937A5" w:rsidP="00C937A5">
      <w:r>
        <w:t xml:space="preserve">The COI Framework for the oversight and governance of Conflicts of Interest consists of the four elements set out below. </w:t>
      </w:r>
    </w:p>
    <w:p w14:paraId="0E1163AF" w14:textId="77777777" w:rsidR="00C937A5" w:rsidRDefault="00C937A5" w:rsidP="00FF30BA">
      <w:pPr>
        <w:pStyle w:val="berschrift3"/>
      </w:pPr>
      <w:bookmarkStart w:id="32" w:name="_Toc126708381"/>
      <w:bookmarkStart w:id="33" w:name="_Toc126712032"/>
      <w:r>
        <w:t>Bank Conflicts of Interest Register</w:t>
      </w:r>
      <w:bookmarkEnd w:id="32"/>
      <w:bookmarkEnd w:id="33"/>
    </w:p>
    <w:p w14:paraId="4C29E58C" w14:textId="77777777" w:rsidR="00C937A5" w:rsidRDefault="00C937A5" w:rsidP="00C937A5">
      <w:r>
        <w:t xml:space="preserve">The Bank maintains a register that records the types of Conflicts of Interest that have arisen or may arise </w:t>
      </w:r>
      <w:proofErr w:type="gramStart"/>
      <w:r>
        <w:t>in the course of</w:t>
      </w:r>
      <w:proofErr w:type="gramEnd"/>
      <w:r>
        <w:t xml:space="preserve"> the Bank’s regulated services and activities or otherwise by virtue of the Bank’s structural or business practices. Where applicable, such Conflicts of Interest are cross-referenced against the relevant MiFID Business.</w:t>
      </w:r>
    </w:p>
    <w:p w14:paraId="7A2DD2CA" w14:textId="77777777" w:rsidR="00B80A0E" w:rsidRPr="00FF6526" w:rsidRDefault="00B80A0E" w:rsidP="00B80A0E">
      <w:pPr>
        <w:pStyle w:val="StandardafterHeading2"/>
        <w:spacing w:before="120" w:after="120" w:line="240" w:lineRule="auto"/>
        <w:ind w:left="0" w:right="0"/>
        <w:jc w:val="left"/>
        <w:rPr>
          <w:rFonts w:cs="Deutsche Bank Text"/>
          <w:sz w:val="20"/>
        </w:rPr>
      </w:pPr>
      <w:r w:rsidRPr="00FF6526">
        <w:rPr>
          <w:rFonts w:cs="Deutsche Bank Text"/>
          <w:sz w:val="20"/>
        </w:rPr>
        <w:t xml:space="preserve">The Bank Conflict of Interest Register comprises Conflicts of Interest recorded through: </w:t>
      </w:r>
    </w:p>
    <w:p w14:paraId="4AFC8CBD" w14:textId="77777777" w:rsidR="00B80A0E" w:rsidRPr="00FF6526" w:rsidRDefault="00B80A0E" w:rsidP="00B80A0E">
      <w:pPr>
        <w:pStyle w:val="Listenabsatz"/>
        <w:numPr>
          <w:ilvl w:val="0"/>
          <w:numId w:val="42"/>
        </w:numPr>
        <w:spacing w:line="240" w:lineRule="auto"/>
        <w:rPr>
          <w:rFonts w:cs="Deutsche Bank Text"/>
        </w:rPr>
      </w:pPr>
      <w:r w:rsidRPr="00FF6526">
        <w:rPr>
          <w:rFonts w:cs="Deutsche Bank Text"/>
        </w:rPr>
        <w:t xml:space="preserve">the </w:t>
      </w:r>
      <w:r>
        <w:rPr>
          <w:rFonts w:cs="Deutsche Bank Text"/>
        </w:rPr>
        <w:t>Conflict Clearing</w:t>
      </w:r>
      <w:r w:rsidRPr="00FF6526">
        <w:rPr>
          <w:rFonts w:cs="Deutsche Bank Text"/>
        </w:rPr>
        <w:t xml:space="preserve"> </w:t>
      </w:r>
      <w:proofErr w:type="gramStart"/>
      <w:r w:rsidRPr="00FF6526">
        <w:rPr>
          <w:rFonts w:cs="Deutsche Bank Text"/>
        </w:rPr>
        <w:t>Register;</w:t>
      </w:r>
      <w:proofErr w:type="gramEnd"/>
    </w:p>
    <w:p w14:paraId="55B00427" w14:textId="77777777" w:rsidR="00B80A0E" w:rsidRPr="00FF6526" w:rsidRDefault="00B80A0E" w:rsidP="00B80A0E">
      <w:pPr>
        <w:pStyle w:val="Listenabsatz"/>
        <w:numPr>
          <w:ilvl w:val="0"/>
          <w:numId w:val="42"/>
        </w:numPr>
        <w:spacing w:line="240" w:lineRule="auto"/>
        <w:rPr>
          <w:rFonts w:cs="Deutsche Bank Text"/>
        </w:rPr>
      </w:pPr>
      <w:r w:rsidRPr="00FF6526">
        <w:rPr>
          <w:rFonts w:cs="Deutsche Bank Text"/>
        </w:rPr>
        <w:t xml:space="preserve">the Bank’s new product and new transaction approval </w:t>
      </w:r>
      <w:proofErr w:type="gramStart"/>
      <w:r w:rsidRPr="00FF6526">
        <w:rPr>
          <w:rFonts w:cs="Deutsche Bank Text"/>
        </w:rPr>
        <w:t>tool;</w:t>
      </w:r>
      <w:proofErr w:type="gramEnd"/>
    </w:p>
    <w:p w14:paraId="5C9C2FAC" w14:textId="77777777" w:rsidR="00B80A0E" w:rsidRPr="00FF6526" w:rsidRDefault="00B80A0E" w:rsidP="00B80A0E">
      <w:pPr>
        <w:pStyle w:val="Listenabsatz"/>
        <w:numPr>
          <w:ilvl w:val="0"/>
          <w:numId w:val="42"/>
        </w:numPr>
        <w:spacing w:line="240" w:lineRule="auto"/>
        <w:rPr>
          <w:rFonts w:cs="Deutsche Bank Text"/>
        </w:rPr>
      </w:pPr>
      <w:r w:rsidRPr="00FF6526">
        <w:rPr>
          <w:rFonts w:cs="Deutsche Bank Text"/>
        </w:rPr>
        <w:t>the Compliance employee trade request approval system (which covers employee trading and outside business interest requests</w:t>
      </w:r>
      <w:proofErr w:type="gramStart"/>
      <w:r w:rsidRPr="00FF6526">
        <w:rPr>
          <w:rFonts w:cs="Deutsche Bank Text"/>
        </w:rPr>
        <w:t>);</w:t>
      </w:r>
      <w:proofErr w:type="gramEnd"/>
    </w:p>
    <w:p w14:paraId="6EDDBBB6" w14:textId="77777777" w:rsidR="00B80A0E" w:rsidRPr="00FF6526" w:rsidRDefault="00B80A0E" w:rsidP="00B80A0E">
      <w:pPr>
        <w:pStyle w:val="Listenabsatz"/>
        <w:numPr>
          <w:ilvl w:val="0"/>
          <w:numId w:val="42"/>
        </w:numPr>
        <w:spacing w:line="240" w:lineRule="auto"/>
        <w:rPr>
          <w:rFonts w:cs="Deutsche Bank Text"/>
        </w:rPr>
      </w:pPr>
      <w:r w:rsidRPr="00FF6526">
        <w:rPr>
          <w:rFonts w:cs="Deutsche Bank Text"/>
        </w:rPr>
        <w:t xml:space="preserve">each of the Units’ COI Registers; and </w:t>
      </w:r>
    </w:p>
    <w:p w14:paraId="779780AA" w14:textId="1198DE26" w:rsidR="00B80A0E" w:rsidRPr="00B80A0E" w:rsidRDefault="00B80A0E" w:rsidP="00FF30BA">
      <w:pPr>
        <w:pStyle w:val="Listenabsatz"/>
        <w:numPr>
          <w:ilvl w:val="0"/>
          <w:numId w:val="42"/>
        </w:numPr>
        <w:spacing w:line="240" w:lineRule="auto"/>
        <w:rPr>
          <w:rFonts w:cs="Deutsche Bank Text"/>
        </w:rPr>
      </w:pPr>
      <w:r w:rsidRPr="00FF6526">
        <w:rPr>
          <w:rFonts w:cs="Deutsche Bank Text"/>
        </w:rPr>
        <w:t>the Conflicts of Interest Taxonomy.</w:t>
      </w:r>
    </w:p>
    <w:p w14:paraId="7E5815CE" w14:textId="77777777" w:rsidR="00C937A5" w:rsidRDefault="00C937A5" w:rsidP="00FF30BA">
      <w:pPr>
        <w:pStyle w:val="berschrift3"/>
      </w:pPr>
      <w:bookmarkStart w:id="34" w:name="_Toc126708382"/>
      <w:bookmarkStart w:id="35" w:name="_Toc126712033"/>
      <w:r>
        <w:t>Business Selection and Conflicts Office</w:t>
      </w:r>
      <w:bookmarkEnd w:id="34"/>
      <w:bookmarkEnd w:id="35"/>
      <w:r>
        <w:t xml:space="preserve">  </w:t>
      </w:r>
    </w:p>
    <w:p w14:paraId="144979E6" w14:textId="1DD96B49" w:rsidR="00C937A5" w:rsidRDefault="00C937A5" w:rsidP="00C937A5">
      <w:r>
        <w:t xml:space="preserve">The Conflicts Office is a global function that is independent of the Bank’s </w:t>
      </w:r>
      <w:r w:rsidR="004A1734">
        <w:t>Corporate Division</w:t>
      </w:r>
      <w:r>
        <w:t>s and has four primary responsibilities under the COI Framework:</w:t>
      </w:r>
    </w:p>
    <w:p w14:paraId="61D61BFC" w14:textId="77777777" w:rsidR="00C937A5" w:rsidRDefault="00C937A5" w:rsidP="00C937A5">
      <w:pPr>
        <w:pStyle w:val="Listenabsatz"/>
        <w:numPr>
          <w:ilvl w:val="0"/>
          <w:numId w:val="38"/>
        </w:numPr>
      </w:pPr>
      <w:r>
        <w:t xml:space="preserve">oversight of the operation of the Bank’s transactional conflict clearing and business selection process, as well as other means of transactional conflict </w:t>
      </w:r>
      <w:proofErr w:type="gramStart"/>
      <w:r>
        <w:t>resolution;</w:t>
      </w:r>
      <w:proofErr w:type="gramEnd"/>
    </w:p>
    <w:p w14:paraId="6DFC6B8F" w14:textId="77777777" w:rsidR="00C937A5" w:rsidRDefault="00C937A5" w:rsidP="00C937A5">
      <w:pPr>
        <w:pStyle w:val="Listenabsatz"/>
        <w:numPr>
          <w:ilvl w:val="0"/>
          <w:numId w:val="38"/>
        </w:numPr>
      </w:pPr>
      <w:r>
        <w:t xml:space="preserve">assisting in the management and resolution of Episodic Conflicts that may arise outside of the conflict clearing </w:t>
      </w:r>
      <w:proofErr w:type="gramStart"/>
      <w:r>
        <w:t>process;</w:t>
      </w:r>
      <w:proofErr w:type="gramEnd"/>
      <w:r>
        <w:t xml:space="preserve"> </w:t>
      </w:r>
    </w:p>
    <w:p w14:paraId="07B74510" w14:textId="1E2CEFF9" w:rsidR="00C937A5" w:rsidRDefault="00C937A5" w:rsidP="00C937A5">
      <w:pPr>
        <w:pStyle w:val="Listenabsatz"/>
        <w:numPr>
          <w:ilvl w:val="0"/>
          <w:numId w:val="38"/>
        </w:numPr>
      </w:pPr>
      <w:r>
        <w:t xml:space="preserve">general oversight of, and annual reporting to the </w:t>
      </w:r>
      <w:r w:rsidR="00180792">
        <w:rPr>
          <w:rFonts w:cs="Deutsche Bank Text"/>
        </w:rPr>
        <w:t>Chief Compliance Officer</w:t>
      </w:r>
      <w:r>
        <w:t xml:space="preserve"> on, Conflicts of Interest oversight and governance activities conducted by Units; and</w:t>
      </w:r>
    </w:p>
    <w:p w14:paraId="1CE130E2" w14:textId="77777777" w:rsidR="00C937A5" w:rsidRDefault="00C937A5" w:rsidP="00C937A5">
      <w:pPr>
        <w:pStyle w:val="Listenabsatz"/>
        <w:numPr>
          <w:ilvl w:val="0"/>
          <w:numId w:val="38"/>
        </w:numPr>
      </w:pPr>
      <w:r>
        <w:lastRenderedPageBreak/>
        <w:t>the creation and maintenance, in conjunction with Compliance, of the Conflicts of Interest Taxonomy.</w:t>
      </w:r>
    </w:p>
    <w:p w14:paraId="061D1F2E" w14:textId="77777777" w:rsidR="00C937A5" w:rsidRDefault="00C937A5" w:rsidP="00FF30BA">
      <w:pPr>
        <w:pStyle w:val="berschrift3"/>
      </w:pPr>
      <w:bookmarkStart w:id="36" w:name="_Toc126708383"/>
      <w:bookmarkStart w:id="37" w:name="_Toc126712034"/>
      <w:r>
        <w:t>Units Conflicts Oversight and Governance</w:t>
      </w:r>
      <w:bookmarkEnd w:id="36"/>
      <w:bookmarkEnd w:id="37"/>
    </w:p>
    <w:p w14:paraId="2641C95B" w14:textId="77777777" w:rsidR="00C937A5" w:rsidRDefault="00C937A5" w:rsidP="00C937A5">
      <w:r>
        <w:t xml:space="preserve">The COI Framework sets out minimum standards for Conflicts of Interest oversight and governance in each Unit, including: </w:t>
      </w:r>
    </w:p>
    <w:p w14:paraId="44D670E4" w14:textId="77777777" w:rsidR="00C937A5" w:rsidRDefault="00C937A5" w:rsidP="00C937A5">
      <w:pPr>
        <w:pStyle w:val="Listenabsatz"/>
        <w:numPr>
          <w:ilvl w:val="0"/>
          <w:numId w:val="39"/>
        </w:numPr>
      </w:pPr>
      <w:r>
        <w:t xml:space="preserve">the operation of an oversight </w:t>
      </w:r>
      <w:proofErr w:type="gramStart"/>
      <w:r>
        <w:t>body;</w:t>
      </w:r>
      <w:proofErr w:type="gramEnd"/>
      <w:r>
        <w:t xml:space="preserve"> </w:t>
      </w:r>
    </w:p>
    <w:p w14:paraId="71B5A395" w14:textId="77777777" w:rsidR="00C937A5" w:rsidRDefault="00C937A5" w:rsidP="00C937A5">
      <w:pPr>
        <w:pStyle w:val="Listenabsatz"/>
        <w:numPr>
          <w:ilvl w:val="0"/>
          <w:numId w:val="39"/>
        </w:numPr>
      </w:pPr>
      <w:r>
        <w:t xml:space="preserve">regular reporting to the Unit’s executive </w:t>
      </w:r>
      <w:proofErr w:type="gramStart"/>
      <w:r>
        <w:t>committee;</w:t>
      </w:r>
      <w:proofErr w:type="gramEnd"/>
      <w:r>
        <w:t xml:space="preserve"> </w:t>
      </w:r>
    </w:p>
    <w:p w14:paraId="60517347" w14:textId="77777777" w:rsidR="00C937A5" w:rsidRDefault="00C937A5" w:rsidP="00C937A5">
      <w:pPr>
        <w:pStyle w:val="Listenabsatz"/>
        <w:numPr>
          <w:ilvl w:val="0"/>
          <w:numId w:val="39"/>
        </w:numPr>
      </w:pPr>
      <w:r>
        <w:t xml:space="preserve">maintenance of a Conflicts of Interest register, mitigation procedures and controls, and clearly defined escalation </w:t>
      </w:r>
      <w:proofErr w:type="gramStart"/>
      <w:r>
        <w:t>processes;</w:t>
      </w:r>
      <w:proofErr w:type="gramEnd"/>
      <w:r>
        <w:t xml:space="preserve"> </w:t>
      </w:r>
    </w:p>
    <w:p w14:paraId="2FC05737" w14:textId="77777777" w:rsidR="00C937A5" w:rsidRDefault="00C937A5" w:rsidP="00C937A5">
      <w:pPr>
        <w:pStyle w:val="Listenabsatz"/>
        <w:numPr>
          <w:ilvl w:val="0"/>
          <w:numId w:val="39"/>
        </w:numPr>
      </w:pPr>
      <w:r>
        <w:t xml:space="preserve">conduct of regular risk </w:t>
      </w:r>
      <w:proofErr w:type="gramStart"/>
      <w:r>
        <w:t>assessments;</w:t>
      </w:r>
      <w:proofErr w:type="gramEnd"/>
      <w:r>
        <w:t xml:space="preserve"> </w:t>
      </w:r>
    </w:p>
    <w:p w14:paraId="00DEAC74" w14:textId="77777777" w:rsidR="00C937A5" w:rsidRDefault="00C937A5" w:rsidP="00C937A5">
      <w:pPr>
        <w:pStyle w:val="Listenabsatz"/>
        <w:numPr>
          <w:ilvl w:val="0"/>
          <w:numId w:val="39"/>
        </w:numPr>
      </w:pPr>
      <w:r>
        <w:t xml:space="preserve">provision of training to Employees of the </w:t>
      </w:r>
      <w:proofErr w:type="gramStart"/>
      <w:r>
        <w:t>Unit;</w:t>
      </w:r>
      <w:proofErr w:type="gramEnd"/>
      <w:r>
        <w:t xml:space="preserve"> </w:t>
      </w:r>
    </w:p>
    <w:p w14:paraId="798A9EF3" w14:textId="77777777" w:rsidR="00C937A5" w:rsidRDefault="00C937A5" w:rsidP="00C937A5">
      <w:pPr>
        <w:pStyle w:val="Listenabsatz"/>
        <w:numPr>
          <w:ilvl w:val="0"/>
          <w:numId w:val="39"/>
        </w:numPr>
      </w:pPr>
      <w:r>
        <w:t>the establishment of appropriate organisational and supervisory arrangements; and, where applicable,</w:t>
      </w:r>
    </w:p>
    <w:p w14:paraId="5600D50D" w14:textId="77777777" w:rsidR="00C937A5" w:rsidRDefault="00C937A5" w:rsidP="00C937A5">
      <w:pPr>
        <w:pStyle w:val="Listenabsatz"/>
        <w:numPr>
          <w:ilvl w:val="0"/>
          <w:numId w:val="39"/>
        </w:numPr>
      </w:pPr>
      <w:r>
        <w:t>management of disclosure of Conflicts of Interest to Clients.</w:t>
      </w:r>
    </w:p>
    <w:p w14:paraId="78FA3401" w14:textId="0EAEC5EB" w:rsidR="00C937A5" w:rsidRDefault="00C937A5" w:rsidP="00C937A5">
      <w:r>
        <w:t xml:space="preserve">In addition, </w:t>
      </w:r>
      <w:r w:rsidR="004A1734">
        <w:t>Corporate Division</w:t>
      </w:r>
      <w:r>
        <w:t>s are required to undertake product reviews, new product and transactional approvals and assessments of suitability and appropriateness as applicable, all of which are targeted at identifying, escalating and managing Conflicts of Interest.</w:t>
      </w:r>
    </w:p>
    <w:p w14:paraId="31A9F3DD" w14:textId="77777777" w:rsidR="00C937A5" w:rsidRDefault="00C937A5" w:rsidP="00FF30BA">
      <w:pPr>
        <w:pStyle w:val="berschrift3"/>
      </w:pPr>
      <w:bookmarkStart w:id="38" w:name="_Toc126708384"/>
      <w:bookmarkStart w:id="39" w:name="_Toc126712035"/>
      <w:r>
        <w:t>Compliance</w:t>
      </w:r>
      <w:bookmarkEnd w:id="38"/>
      <w:bookmarkEnd w:id="39"/>
    </w:p>
    <w:p w14:paraId="5FFD3588" w14:textId="25ACBAF5" w:rsidR="00C937A5" w:rsidRDefault="00C937A5" w:rsidP="00C937A5">
      <w:r>
        <w:t xml:space="preserve">Compliance, as a 2nd Line of Defence function, is the “Risk Type Controller” for the Conflicts of Interest Risk Type. In this capacity, Compliance is responsible for the development of related policies, the testing of controls implemented by </w:t>
      </w:r>
      <w:r w:rsidR="004A1734">
        <w:t>Corporate Division</w:t>
      </w:r>
      <w:r>
        <w:t>s and the regular risk assessment of Conflicts of Interest Risk Type management by the Bank.</w:t>
      </w:r>
    </w:p>
    <w:p w14:paraId="42418963" w14:textId="61C67B25" w:rsidR="00C937A5" w:rsidRPr="00C937A5" w:rsidRDefault="00C937A5" w:rsidP="00FF30BA">
      <w:r>
        <w:t xml:space="preserve">Compliance is also responsible for certain aspects of the Bank’s overall conflicts management, including processes relating to Employee Trading and Outside Business Interests, as well as those operated by the </w:t>
      </w:r>
      <w:r w:rsidR="002A6F4A">
        <w:t>GCOCR</w:t>
      </w:r>
      <w:r>
        <w:t>.</w:t>
      </w:r>
    </w:p>
    <w:p w14:paraId="010167F1" w14:textId="3999E134" w:rsidR="00C937A5" w:rsidRDefault="00C937A5" w:rsidP="00C937A5">
      <w:pPr>
        <w:pStyle w:val="berschrift1"/>
      </w:pPr>
      <w:bookmarkStart w:id="40" w:name="_Toc211502444"/>
      <w:r>
        <w:t>P</w:t>
      </w:r>
      <w:r w:rsidRPr="00C937A5">
        <w:t xml:space="preserve">olicies, </w:t>
      </w:r>
      <w:r>
        <w:t>P</w:t>
      </w:r>
      <w:r w:rsidRPr="00C937A5">
        <w:t xml:space="preserve">rocedures, </w:t>
      </w:r>
      <w:r>
        <w:t>S</w:t>
      </w:r>
      <w:r w:rsidRPr="00C937A5">
        <w:t xml:space="preserve">ystems and </w:t>
      </w:r>
      <w:r>
        <w:t>C</w:t>
      </w:r>
      <w:r w:rsidRPr="00C937A5">
        <w:t>ontrols relating to Conflicts of Interest</w:t>
      </w:r>
      <w:bookmarkEnd w:id="40"/>
    </w:p>
    <w:p w14:paraId="1877AE07" w14:textId="77777777" w:rsidR="00C937A5" w:rsidRPr="00C937A5" w:rsidRDefault="00C937A5" w:rsidP="00C937A5">
      <w:r w:rsidRPr="00C937A5">
        <w:t xml:space="preserve">The Bank employs </w:t>
      </w:r>
      <w:proofErr w:type="gramStart"/>
      <w:r w:rsidRPr="00C937A5">
        <w:t>a number of</w:t>
      </w:r>
      <w:proofErr w:type="gramEnd"/>
      <w:r w:rsidRPr="00C937A5">
        <w:t xml:space="preserve"> systems, controls, policies and procedures to manage Conflicts of Interest, including those summarised below.</w:t>
      </w:r>
    </w:p>
    <w:p w14:paraId="425BF951" w14:textId="32C5A462" w:rsidR="00C937A5" w:rsidRPr="00C937A5" w:rsidRDefault="00C937A5" w:rsidP="00FF30BA">
      <w:pPr>
        <w:pStyle w:val="berschrift2"/>
      </w:pPr>
      <w:bookmarkStart w:id="41" w:name="_Toc126708386"/>
      <w:bookmarkStart w:id="42" w:name="_Toc126712037"/>
      <w:bookmarkStart w:id="43" w:name="_Toc211502445"/>
      <w:r w:rsidRPr="00C937A5">
        <w:t>General Policies, Procedures, Systems and Controls</w:t>
      </w:r>
      <w:bookmarkEnd w:id="41"/>
      <w:bookmarkEnd w:id="42"/>
      <w:bookmarkEnd w:id="43"/>
    </w:p>
    <w:p w14:paraId="5D7869CC" w14:textId="3155FCB2" w:rsidR="00C937A5" w:rsidRPr="00C937A5" w:rsidRDefault="00C937A5" w:rsidP="00FF30BA">
      <w:pPr>
        <w:pStyle w:val="berschrift3"/>
      </w:pPr>
      <w:bookmarkStart w:id="44" w:name="_Toc126708387"/>
      <w:bookmarkStart w:id="45" w:name="_Toc126712038"/>
      <w:r w:rsidRPr="00C937A5">
        <w:t>Information Barrier</w:t>
      </w:r>
      <w:r w:rsidR="00CC3FBA">
        <w:t xml:space="preserve"> Arrangements</w:t>
      </w:r>
      <w:bookmarkEnd w:id="44"/>
      <w:bookmarkEnd w:id="45"/>
      <w:r w:rsidRPr="00C937A5">
        <w:t xml:space="preserve"> </w:t>
      </w:r>
    </w:p>
    <w:p w14:paraId="6F7F9AFC" w14:textId="410C120D" w:rsidR="00C937A5" w:rsidRPr="00C937A5" w:rsidRDefault="00C937A5" w:rsidP="00C937A5">
      <w:pPr>
        <w:rPr>
          <w:color w:val="000000" w:themeColor="text1"/>
        </w:rPr>
      </w:pPr>
      <w:r w:rsidRPr="00C937A5">
        <w:rPr>
          <w:color w:val="000000" w:themeColor="text1"/>
        </w:rPr>
        <w:t xml:space="preserve">In accordance with </w:t>
      </w:r>
      <w:r w:rsidR="00CC3FBA">
        <w:rPr>
          <w:color w:val="000000" w:themeColor="text1"/>
        </w:rPr>
        <w:t>the Bank’s policy</w:t>
      </w:r>
      <w:r w:rsidRPr="00C937A5">
        <w:rPr>
          <w:color w:val="000000" w:themeColor="text1"/>
        </w:rPr>
        <w:t xml:space="preserve">, the Bank maintains </w:t>
      </w:r>
      <w:r w:rsidR="009A3221">
        <w:rPr>
          <w:color w:val="000000" w:themeColor="text1"/>
        </w:rPr>
        <w:t>i</w:t>
      </w:r>
      <w:r w:rsidRPr="00C937A5">
        <w:rPr>
          <w:color w:val="000000" w:themeColor="text1"/>
        </w:rPr>
        <w:t xml:space="preserve">nformation </w:t>
      </w:r>
      <w:r w:rsidR="009A3221">
        <w:rPr>
          <w:color w:val="000000" w:themeColor="text1"/>
        </w:rPr>
        <w:t>b</w:t>
      </w:r>
      <w:r w:rsidRPr="00C937A5">
        <w:rPr>
          <w:color w:val="000000" w:themeColor="text1"/>
        </w:rPr>
        <w:t>arrier</w:t>
      </w:r>
      <w:r w:rsidR="00CC3FBA">
        <w:rPr>
          <w:color w:val="000000" w:themeColor="text1"/>
        </w:rPr>
        <w:t xml:space="preserve"> arrangements</w:t>
      </w:r>
      <w:r w:rsidRPr="00C937A5">
        <w:rPr>
          <w:color w:val="000000" w:themeColor="text1"/>
        </w:rPr>
        <w:t xml:space="preserve"> that are designed to restrict information flows between different areas of the Bank. These restrictions enable the Bank and Employees to carry out business on behalf of Clients without being influenced by other information held within the Bank which may give rise to a Conflict of Interest. </w:t>
      </w:r>
    </w:p>
    <w:p w14:paraId="2C293004" w14:textId="77777777" w:rsidR="00C937A5" w:rsidRPr="00C937A5" w:rsidRDefault="00C937A5" w:rsidP="00FF30BA">
      <w:pPr>
        <w:pStyle w:val="berschrift3"/>
      </w:pPr>
      <w:bookmarkStart w:id="46" w:name="_Toc126708388"/>
      <w:bookmarkStart w:id="47" w:name="_Toc126712039"/>
      <w:r w:rsidRPr="00C937A5">
        <w:t>Disclosure and Client Consent</w:t>
      </w:r>
      <w:bookmarkEnd w:id="46"/>
      <w:bookmarkEnd w:id="47"/>
    </w:p>
    <w:p w14:paraId="4323E384" w14:textId="77777777" w:rsidR="00C937A5" w:rsidRPr="00C937A5" w:rsidRDefault="00C937A5" w:rsidP="00C937A5">
      <w:r w:rsidRPr="00C937A5">
        <w:t xml:space="preserve">In certain circumstances, the Bank may determine that its arrangements to prevent or manage Conflicts of Interest may not be sufficient to protect a </w:t>
      </w:r>
      <w:proofErr w:type="gramStart"/>
      <w:r w:rsidRPr="00C937A5">
        <w:t>Client’s</w:t>
      </w:r>
      <w:proofErr w:type="gramEnd"/>
      <w:r w:rsidRPr="00C937A5">
        <w:t xml:space="preserve"> interest from material damage and the Client must be made aware of this. Alternatively, the Bank may decide </w:t>
      </w:r>
      <w:proofErr w:type="gramStart"/>
      <w:r w:rsidRPr="00C937A5">
        <w:t>in particular circumstances</w:t>
      </w:r>
      <w:proofErr w:type="gramEnd"/>
      <w:r w:rsidRPr="00C937A5">
        <w:t xml:space="preserve"> that a </w:t>
      </w:r>
      <w:proofErr w:type="gramStart"/>
      <w:r w:rsidRPr="00C937A5">
        <w:t>Client</w:t>
      </w:r>
      <w:proofErr w:type="gramEnd"/>
      <w:r w:rsidRPr="00C937A5">
        <w:t xml:space="preserve"> should be made aware of the potential for a Conflict of Interest and the arrangements that will be put place to manage the conflict. Where permissible under Rules and </w:t>
      </w:r>
      <w:r w:rsidRPr="00C937A5">
        <w:lastRenderedPageBreak/>
        <w:t>appropriate, disclosure to an affected Client may be made to inform the Client of the arrangements and/or to specifically seek Client consent to act.</w:t>
      </w:r>
    </w:p>
    <w:p w14:paraId="52DC2587" w14:textId="77777777" w:rsidR="00C937A5" w:rsidRPr="00C937A5" w:rsidRDefault="00C937A5" w:rsidP="00C937A5">
      <w:r w:rsidRPr="00C937A5">
        <w:t>Where the Bank is conducting MiFID Business, disclosure of a Conflict of Interest to a Client as the sole means of managing the Conflict of Interest is not permitted except as a measure of last resort. Such disclosure:</w:t>
      </w:r>
    </w:p>
    <w:p w14:paraId="62989F6E" w14:textId="77777777" w:rsidR="00C937A5" w:rsidRPr="00C937A5" w:rsidRDefault="00C937A5" w:rsidP="00C937A5">
      <w:pPr>
        <w:numPr>
          <w:ilvl w:val="0"/>
          <w:numId w:val="40"/>
        </w:numPr>
        <w:spacing w:before="60" w:after="60"/>
      </w:pPr>
      <w:r w:rsidRPr="00C937A5">
        <w:t xml:space="preserve">must be made prior to the provision of the relevant MiFID Business in a durable medium and in sufficient detail to enable the Client to make an informed decision as to whether to accept the provision of the relevant </w:t>
      </w:r>
      <w:proofErr w:type="gramStart"/>
      <w:r w:rsidRPr="00C937A5">
        <w:t>service;</w:t>
      </w:r>
      <w:proofErr w:type="gramEnd"/>
    </w:p>
    <w:p w14:paraId="142934AD" w14:textId="77777777" w:rsidR="00C937A5" w:rsidRPr="00C937A5" w:rsidRDefault="00C937A5" w:rsidP="00C937A5">
      <w:pPr>
        <w:numPr>
          <w:ilvl w:val="0"/>
          <w:numId w:val="40"/>
        </w:numPr>
        <w:spacing w:before="60" w:after="60"/>
      </w:pPr>
      <w:r w:rsidRPr="00C937A5">
        <w:t xml:space="preserve">must state that it is being provided to the Client because the Bank’s organisational and administrative arrangements established to prevent or manage that Conflict of Interest are not sufficient to ensure, with reasonable confidence, that the risk of damage to the interests of the Client will be </w:t>
      </w:r>
      <w:proofErr w:type="gramStart"/>
      <w:r w:rsidRPr="00C937A5">
        <w:t>prevented;</w:t>
      </w:r>
      <w:proofErr w:type="gramEnd"/>
      <w:r w:rsidRPr="00C937A5">
        <w:t xml:space="preserve"> </w:t>
      </w:r>
    </w:p>
    <w:p w14:paraId="0BD6920A" w14:textId="77777777" w:rsidR="00C937A5" w:rsidRPr="00C937A5" w:rsidRDefault="00C937A5" w:rsidP="00C937A5">
      <w:pPr>
        <w:numPr>
          <w:ilvl w:val="0"/>
          <w:numId w:val="40"/>
        </w:numPr>
        <w:spacing w:before="60" w:after="60"/>
      </w:pPr>
      <w:r w:rsidRPr="00C937A5">
        <w:t>should take into consideration the nature of the Client and include a specific description of the Conflict of Interest that has arisen in connection with the proposed service; and</w:t>
      </w:r>
    </w:p>
    <w:p w14:paraId="41AD3E28" w14:textId="77777777" w:rsidR="00C937A5" w:rsidRPr="00C937A5" w:rsidRDefault="00C937A5" w:rsidP="00C937A5">
      <w:pPr>
        <w:numPr>
          <w:ilvl w:val="0"/>
          <w:numId w:val="40"/>
        </w:numPr>
        <w:spacing w:before="60" w:after="60"/>
      </w:pPr>
      <w:r w:rsidRPr="00C937A5">
        <w:t xml:space="preserve">must include an explanation as to the general nature and source of the Conflict of Interest, the risks to the Client that arise </w:t>
      </w:r>
      <w:proofErr w:type="gramStart"/>
      <w:r w:rsidRPr="00C937A5">
        <w:t>as a result of</w:t>
      </w:r>
      <w:proofErr w:type="gramEnd"/>
      <w:r w:rsidRPr="00C937A5">
        <w:t xml:space="preserve"> the Conflict of Interest and a description of the steps undertaken to mitigate these risks.</w:t>
      </w:r>
    </w:p>
    <w:p w14:paraId="2E366B09" w14:textId="77777777" w:rsidR="00C937A5" w:rsidRPr="00C937A5" w:rsidRDefault="00C937A5" w:rsidP="00FF30BA">
      <w:pPr>
        <w:pStyle w:val="berschrift3"/>
      </w:pPr>
      <w:bookmarkStart w:id="48" w:name="_Toc126708389"/>
      <w:bookmarkStart w:id="49" w:name="_Toc126712040"/>
      <w:r w:rsidRPr="00C937A5">
        <w:t>Escalation</w:t>
      </w:r>
      <w:bookmarkEnd w:id="48"/>
      <w:bookmarkEnd w:id="49"/>
      <w:r w:rsidRPr="00C937A5">
        <w:t xml:space="preserve"> </w:t>
      </w:r>
    </w:p>
    <w:p w14:paraId="78B4FE53" w14:textId="77777777" w:rsidR="00C937A5" w:rsidRPr="00C937A5" w:rsidRDefault="00C937A5" w:rsidP="00C937A5">
      <w:r w:rsidRPr="00C937A5">
        <w:t>The Bank operates internal escalation processes for Conflicts of Interest, with each Unit having the responsibility of defining and documenting their respective processes under the COI Framework. The escalation processes are required to enable the Conflict of Interest to be escalated on a timely basis and considered at an appropriate level of seniority and by the correct stakeholders to arrive at the most appropriate resolution.</w:t>
      </w:r>
    </w:p>
    <w:p w14:paraId="528DAFFC" w14:textId="77777777" w:rsidR="00C937A5" w:rsidRPr="00C937A5" w:rsidRDefault="00C937A5" w:rsidP="00FF30BA">
      <w:pPr>
        <w:pStyle w:val="berschrift3"/>
      </w:pPr>
      <w:bookmarkStart w:id="50" w:name="_Toc126708390"/>
      <w:bookmarkStart w:id="51" w:name="_Toc126712041"/>
      <w:r w:rsidRPr="00C937A5">
        <w:t>Whistleblowing</w:t>
      </w:r>
      <w:bookmarkEnd w:id="50"/>
      <w:bookmarkEnd w:id="51"/>
    </w:p>
    <w:p w14:paraId="20A53DE0" w14:textId="2383D11A" w:rsidR="00C937A5" w:rsidRPr="00C937A5" w:rsidRDefault="00C937A5" w:rsidP="00C937A5">
      <w:pPr>
        <w:rPr>
          <w:color w:val="000000" w:themeColor="text1"/>
        </w:rPr>
      </w:pPr>
      <w:r w:rsidRPr="00C937A5">
        <w:rPr>
          <w:color w:val="000000" w:themeColor="text1"/>
        </w:rPr>
        <w:t xml:space="preserve">The Bank provides appropriate channels through the </w:t>
      </w:r>
      <w:r w:rsidRPr="00C937A5">
        <w:rPr>
          <w:bCs/>
          <w:color w:val="000000" w:themeColor="text1"/>
          <w:u w:val="single"/>
        </w:rPr>
        <w:t>Raising Concerns (including Whistleblowing) Policy – Deutsche Bank Group</w:t>
      </w:r>
      <w:r w:rsidRPr="00C937A5">
        <w:rPr>
          <w:color w:val="000000" w:themeColor="text1"/>
        </w:rPr>
        <w:t xml:space="preserve"> for the reporting/whistleblowing of Conflicts of Interest within the Bank where an Employee considers this to be the appropriate channel to draw the matter to the attention of the Bank.</w:t>
      </w:r>
    </w:p>
    <w:p w14:paraId="7E43805B" w14:textId="1A26FC9F" w:rsidR="00C937A5" w:rsidRPr="00C937A5" w:rsidRDefault="00C937A5" w:rsidP="00FF30BA">
      <w:pPr>
        <w:pStyle w:val="berschrift2"/>
      </w:pPr>
      <w:bookmarkStart w:id="52" w:name="_Toc126708391"/>
      <w:bookmarkStart w:id="53" w:name="_Toc126712042"/>
      <w:bookmarkStart w:id="54" w:name="_Toc211502446"/>
      <w:r w:rsidRPr="00C937A5">
        <w:t>Policies, Procedures, Systems and Controls relating to specific activities</w:t>
      </w:r>
      <w:bookmarkEnd w:id="52"/>
      <w:bookmarkEnd w:id="53"/>
      <w:bookmarkEnd w:id="54"/>
    </w:p>
    <w:p w14:paraId="7EA015EC" w14:textId="77777777" w:rsidR="00C937A5" w:rsidRPr="00C937A5" w:rsidRDefault="00C937A5" w:rsidP="00FF30BA">
      <w:pPr>
        <w:pStyle w:val="berschrift3"/>
      </w:pPr>
      <w:bookmarkStart w:id="55" w:name="_Toc126708392"/>
      <w:bookmarkStart w:id="56" w:name="_Toc126712043"/>
      <w:r w:rsidRPr="00C937A5">
        <w:t>Client Order Handling</w:t>
      </w:r>
      <w:bookmarkEnd w:id="55"/>
      <w:bookmarkEnd w:id="56"/>
    </w:p>
    <w:p w14:paraId="5E75EA1B" w14:textId="77777777" w:rsidR="00C937A5" w:rsidRPr="00C937A5" w:rsidRDefault="00C937A5" w:rsidP="00C937A5">
      <w:pPr>
        <w:rPr>
          <w:color w:val="000000" w:themeColor="text1"/>
        </w:rPr>
      </w:pPr>
      <w:r w:rsidRPr="00C937A5">
        <w:rPr>
          <w:color w:val="000000" w:themeColor="text1"/>
        </w:rPr>
        <w:t xml:space="preserve">A Conflict of Interest may arise where an Employee receives, transmits, executes or otherwise handles a </w:t>
      </w:r>
      <w:proofErr w:type="gramStart"/>
      <w:r w:rsidRPr="00C937A5">
        <w:rPr>
          <w:color w:val="000000" w:themeColor="text1"/>
        </w:rPr>
        <w:t>Client</w:t>
      </w:r>
      <w:proofErr w:type="gramEnd"/>
      <w:r w:rsidRPr="00C937A5">
        <w:rPr>
          <w:color w:val="000000" w:themeColor="text1"/>
        </w:rPr>
        <w:t xml:space="preserve"> order. The Bank has policies in place to manage such Conflicts of Interest and thereby protect Client’s interests, requiring Employees to act honestly, fairly and professionally in accordance with the best interests of a </w:t>
      </w:r>
      <w:proofErr w:type="gramStart"/>
      <w:r w:rsidRPr="00C937A5">
        <w:rPr>
          <w:color w:val="000000" w:themeColor="text1"/>
        </w:rPr>
        <w:t>Client</w:t>
      </w:r>
      <w:proofErr w:type="gramEnd"/>
      <w:r w:rsidRPr="00C937A5">
        <w:rPr>
          <w:color w:val="000000" w:themeColor="text1"/>
        </w:rPr>
        <w:t xml:space="preserve"> and prohibiting improper conduct by the Bank’s traders, such as front-running Client orders.</w:t>
      </w:r>
    </w:p>
    <w:p w14:paraId="6CA2F2E2" w14:textId="77777777" w:rsidR="00C937A5" w:rsidRPr="00C937A5" w:rsidRDefault="00C937A5" w:rsidP="00FF30BA">
      <w:pPr>
        <w:pStyle w:val="berschrift3"/>
      </w:pPr>
      <w:bookmarkStart w:id="57" w:name="_Toc126708393"/>
      <w:bookmarkStart w:id="58" w:name="_Toc126712044"/>
      <w:r w:rsidRPr="00C937A5">
        <w:t>Benchmarks</w:t>
      </w:r>
      <w:bookmarkEnd w:id="57"/>
      <w:bookmarkEnd w:id="58"/>
    </w:p>
    <w:p w14:paraId="424CC994" w14:textId="3667C4A7" w:rsidR="00C937A5" w:rsidRPr="00C937A5" w:rsidRDefault="00C937A5" w:rsidP="00C937A5">
      <w:pPr>
        <w:rPr>
          <w:color w:val="000000" w:themeColor="text1"/>
        </w:rPr>
      </w:pPr>
      <w:r w:rsidRPr="00C937A5">
        <w:rPr>
          <w:color w:val="000000" w:themeColor="text1"/>
        </w:rPr>
        <w:t xml:space="preserve">A Conflict of Interest may arise where the Bank and its Employees engage in Benchmark activities. In accordance with the </w:t>
      </w:r>
      <w:r w:rsidRPr="00C937A5">
        <w:rPr>
          <w:bCs/>
          <w:color w:val="000000" w:themeColor="text1"/>
          <w:u w:val="single"/>
        </w:rPr>
        <w:t>Benchmark Policy</w:t>
      </w:r>
      <w:r w:rsidRPr="00C937A5">
        <w:rPr>
          <w:color w:val="000000" w:themeColor="text1"/>
        </w:rPr>
        <w:t xml:space="preserve">, the Bank maintains procedures to be followed </w:t>
      </w:r>
      <w:proofErr w:type="gramStart"/>
      <w:r w:rsidRPr="00C937A5">
        <w:rPr>
          <w:color w:val="000000" w:themeColor="text1"/>
        </w:rPr>
        <w:t>in order to</w:t>
      </w:r>
      <w:proofErr w:type="gramEnd"/>
      <w:r w:rsidRPr="00C937A5">
        <w:rPr>
          <w:color w:val="000000" w:themeColor="text1"/>
        </w:rPr>
        <w:t xml:space="preserve"> manage these Conflicts of Interest, including inter alia: </w:t>
      </w:r>
    </w:p>
    <w:p w14:paraId="16DE07D0" w14:textId="77777777" w:rsidR="00C937A5" w:rsidRPr="00C937A5" w:rsidRDefault="00C937A5" w:rsidP="00C937A5">
      <w:pPr>
        <w:numPr>
          <w:ilvl w:val="0"/>
          <w:numId w:val="41"/>
        </w:numPr>
        <w:spacing w:before="60" w:after="60"/>
        <w:rPr>
          <w:color w:val="000000" w:themeColor="text1"/>
        </w:rPr>
      </w:pPr>
      <w:r w:rsidRPr="00C937A5">
        <w:rPr>
          <w:color w:val="000000" w:themeColor="text1"/>
        </w:rPr>
        <w:t xml:space="preserve">requirements relating to the remuneration of Employees involved in Benchmark </w:t>
      </w:r>
      <w:proofErr w:type="gramStart"/>
      <w:r w:rsidRPr="00C937A5">
        <w:rPr>
          <w:color w:val="000000" w:themeColor="text1"/>
        </w:rPr>
        <w:t>submission;</w:t>
      </w:r>
      <w:proofErr w:type="gramEnd"/>
      <w:r w:rsidRPr="00C937A5">
        <w:rPr>
          <w:color w:val="000000" w:themeColor="text1"/>
        </w:rPr>
        <w:t xml:space="preserve"> </w:t>
      </w:r>
    </w:p>
    <w:p w14:paraId="5EDE7041" w14:textId="77777777" w:rsidR="00C937A5" w:rsidRPr="00C937A5" w:rsidRDefault="00C937A5" w:rsidP="00C937A5">
      <w:pPr>
        <w:numPr>
          <w:ilvl w:val="0"/>
          <w:numId w:val="41"/>
        </w:numPr>
        <w:spacing w:before="60" w:after="60"/>
        <w:rPr>
          <w:color w:val="000000" w:themeColor="text1"/>
        </w:rPr>
      </w:pPr>
      <w:r w:rsidRPr="00C937A5">
        <w:rPr>
          <w:color w:val="000000" w:themeColor="text1"/>
        </w:rPr>
        <w:t>procedures and training to prevent or control information flows involving Employees engaged in Benchmark activities; and</w:t>
      </w:r>
    </w:p>
    <w:p w14:paraId="16856893" w14:textId="77777777" w:rsidR="00C937A5" w:rsidRPr="00C937A5" w:rsidRDefault="00C937A5" w:rsidP="00C937A5">
      <w:pPr>
        <w:numPr>
          <w:ilvl w:val="0"/>
          <w:numId w:val="41"/>
        </w:numPr>
        <w:spacing w:before="60" w:after="60"/>
        <w:rPr>
          <w:color w:val="000000" w:themeColor="text1"/>
        </w:rPr>
      </w:pPr>
      <w:r w:rsidRPr="00C937A5">
        <w:rPr>
          <w:color w:val="000000" w:themeColor="text1"/>
        </w:rPr>
        <w:lastRenderedPageBreak/>
        <w:t>a specific escalation and resolution mechanism where material Conflicts of Interest are identified.</w:t>
      </w:r>
    </w:p>
    <w:p w14:paraId="170985A7" w14:textId="77777777" w:rsidR="00C937A5" w:rsidRPr="00C937A5" w:rsidRDefault="00C937A5" w:rsidP="00FF30BA">
      <w:pPr>
        <w:pStyle w:val="berschrift3"/>
      </w:pPr>
      <w:bookmarkStart w:id="59" w:name="_Toc126708394"/>
      <w:bookmarkStart w:id="60" w:name="_Toc126712045"/>
      <w:r w:rsidRPr="00C937A5">
        <w:t>Research Independence</w:t>
      </w:r>
      <w:bookmarkEnd w:id="59"/>
      <w:bookmarkEnd w:id="60"/>
    </w:p>
    <w:p w14:paraId="63591EA0" w14:textId="43A8DFA5" w:rsidR="00C937A5" w:rsidRPr="00C937A5" w:rsidRDefault="00C937A5" w:rsidP="00C937A5">
      <w:pPr>
        <w:rPr>
          <w:color w:val="000000" w:themeColor="text1"/>
        </w:rPr>
      </w:pPr>
      <w:r w:rsidRPr="00C937A5">
        <w:rPr>
          <w:color w:val="000000" w:themeColor="text1"/>
        </w:rPr>
        <w:t xml:space="preserve">A Conflict of Interest may arise where the content of Research reports or other public statements by a Research analyst do not represent the </w:t>
      </w:r>
      <w:proofErr w:type="gramStart"/>
      <w:r w:rsidRPr="00C937A5">
        <w:rPr>
          <w:color w:val="000000" w:themeColor="text1"/>
        </w:rPr>
        <w:t>analyst’s</w:t>
      </w:r>
      <w:proofErr w:type="gramEnd"/>
      <w:r w:rsidRPr="00C937A5">
        <w:rPr>
          <w:color w:val="000000" w:themeColor="text1"/>
        </w:rPr>
        <w:t xml:space="preserve"> genuinely held beliefs because they have been influenced by the interests of a particular </w:t>
      </w:r>
      <w:r w:rsidR="004A1734">
        <w:rPr>
          <w:color w:val="000000" w:themeColor="text1"/>
        </w:rPr>
        <w:t>Corporate Division</w:t>
      </w:r>
      <w:r w:rsidRPr="00C937A5">
        <w:rPr>
          <w:color w:val="000000" w:themeColor="text1"/>
        </w:rPr>
        <w:t xml:space="preserve"> of the Bank. </w:t>
      </w:r>
      <w:proofErr w:type="gramStart"/>
      <w:r w:rsidRPr="00C937A5">
        <w:rPr>
          <w:color w:val="000000" w:themeColor="text1"/>
        </w:rPr>
        <w:t>In order to</w:t>
      </w:r>
      <w:proofErr w:type="gramEnd"/>
      <w:r w:rsidRPr="00C937A5">
        <w:rPr>
          <w:color w:val="000000" w:themeColor="text1"/>
        </w:rPr>
        <w:t xml:space="preserve"> manage such Conflicts of Interest, the </w:t>
      </w:r>
      <w:r w:rsidRPr="00C937A5">
        <w:rPr>
          <w:bCs/>
          <w:color w:val="000000" w:themeColor="text1"/>
          <w:u w:val="single"/>
        </w:rPr>
        <w:t>Research Independence Policy</w:t>
      </w:r>
      <w:r w:rsidRPr="00C937A5">
        <w:rPr>
          <w:color w:val="000000" w:themeColor="text1"/>
        </w:rPr>
        <w:t xml:space="preserve"> is designed to promote and safeguard the integrity and independence of Research. No one may place inappropriate pressure on a Research analyst with respect to the content or timing of a Research report or a public statement made by that analyst. The supervisory structure, reporting lines and compensation criteria for Research and Research analysts are designed to maintain the independence of Research from other areas of the Bank.</w:t>
      </w:r>
    </w:p>
    <w:p w14:paraId="6CF8BA7C" w14:textId="77777777" w:rsidR="00C937A5" w:rsidRPr="00C937A5" w:rsidRDefault="00C937A5" w:rsidP="00FF30BA">
      <w:pPr>
        <w:pStyle w:val="berschrift3"/>
      </w:pPr>
      <w:bookmarkStart w:id="61" w:name="_Toc126708395"/>
      <w:bookmarkStart w:id="62" w:name="_Toc126712046"/>
      <w:r w:rsidRPr="00C937A5">
        <w:t>Underwriting and Placing</w:t>
      </w:r>
      <w:bookmarkEnd w:id="61"/>
      <w:bookmarkEnd w:id="62"/>
    </w:p>
    <w:p w14:paraId="1D172980" w14:textId="77777777" w:rsidR="00C937A5" w:rsidRPr="00C937A5" w:rsidRDefault="00C937A5" w:rsidP="00C937A5">
      <w:pPr>
        <w:rPr>
          <w:color w:val="000000" w:themeColor="text1"/>
        </w:rPr>
      </w:pPr>
      <w:r w:rsidRPr="00C937A5">
        <w:rPr>
          <w:color w:val="000000" w:themeColor="text1"/>
        </w:rPr>
        <w:t>A Conflict of Interest may arise between an issuer Client, investor Clients and the Bank in the context of the Bank’s underwriting and placing activities. The Bank has in place policies, procedures and arrangements so that the syndication process, including book-building, allocations and pricing, is conducted in accordance with the issuer Clients’ interests. The Bank is prohibited from putting its own interest, or the interest of an investor Client, ahead of the issuer Client, or inappropriately favouring one investor Client over another.</w:t>
      </w:r>
    </w:p>
    <w:p w14:paraId="1C9FD01F" w14:textId="77777777" w:rsidR="00C937A5" w:rsidRPr="00C937A5" w:rsidRDefault="00C937A5" w:rsidP="00FF30BA">
      <w:pPr>
        <w:pStyle w:val="berschrift3"/>
      </w:pPr>
      <w:bookmarkStart w:id="63" w:name="_Toc126708396"/>
      <w:bookmarkStart w:id="64" w:name="_Toc126712047"/>
      <w:r w:rsidRPr="00C937A5">
        <w:t>Inducements</w:t>
      </w:r>
      <w:bookmarkEnd w:id="63"/>
      <w:bookmarkEnd w:id="64"/>
    </w:p>
    <w:p w14:paraId="39FFE6B7" w14:textId="77777777" w:rsidR="00C937A5" w:rsidRPr="00C937A5" w:rsidRDefault="00C937A5" w:rsidP="00C937A5">
      <w:pPr>
        <w:rPr>
          <w:color w:val="000000" w:themeColor="text1"/>
        </w:rPr>
      </w:pPr>
      <w:r w:rsidRPr="00C937A5">
        <w:rPr>
          <w:color w:val="000000" w:themeColor="text1"/>
        </w:rPr>
        <w:t xml:space="preserve">A Conflict of Interest may arise where the payment or receipt of an Inducement would create an incentive for the Bank to act in a way other than in the best interests of its </w:t>
      </w:r>
      <w:proofErr w:type="gramStart"/>
      <w:r w:rsidRPr="00C937A5">
        <w:rPr>
          <w:color w:val="000000" w:themeColor="text1"/>
        </w:rPr>
        <w:t>Client</w:t>
      </w:r>
      <w:proofErr w:type="gramEnd"/>
      <w:r w:rsidRPr="00C937A5">
        <w:rPr>
          <w:color w:val="000000" w:themeColor="text1"/>
        </w:rPr>
        <w:t xml:space="preserve">. The Bank has established policies, procedures and controls </w:t>
      </w:r>
      <w:proofErr w:type="gramStart"/>
      <w:r w:rsidRPr="00C937A5">
        <w:rPr>
          <w:color w:val="000000" w:themeColor="text1"/>
        </w:rPr>
        <w:t>with regard to</w:t>
      </w:r>
      <w:proofErr w:type="gramEnd"/>
      <w:r w:rsidRPr="00C937A5">
        <w:rPr>
          <w:color w:val="000000" w:themeColor="text1"/>
        </w:rPr>
        <w:t xml:space="preserve"> the payment and receipt of Inducements </w:t>
      </w:r>
      <w:proofErr w:type="gramStart"/>
      <w:r w:rsidRPr="00C937A5">
        <w:rPr>
          <w:color w:val="000000" w:themeColor="text1"/>
        </w:rPr>
        <w:t>in order to</w:t>
      </w:r>
      <w:proofErr w:type="gramEnd"/>
      <w:r w:rsidRPr="00C937A5">
        <w:rPr>
          <w:color w:val="000000" w:themeColor="text1"/>
        </w:rPr>
        <w:t xml:space="preserve"> assess their appropriateness and manage any Conflict of Interest that may arise.</w:t>
      </w:r>
    </w:p>
    <w:p w14:paraId="2942CFD3" w14:textId="77777777" w:rsidR="00C937A5" w:rsidRPr="00C937A5" w:rsidRDefault="00C937A5" w:rsidP="00FF30BA">
      <w:pPr>
        <w:pStyle w:val="berschrift3"/>
      </w:pPr>
      <w:bookmarkStart w:id="65" w:name="_Toc126708397"/>
      <w:bookmarkStart w:id="66" w:name="_Toc126712048"/>
      <w:r w:rsidRPr="00C937A5">
        <w:t>Remuneration Practices</w:t>
      </w:r>
      <w:bookmarkEnd w:id="65"/>
      <w:bookmarkEnd w:id="66"/>
    </w:p>
    <w:p w14:paraId="032BA739" w14:textId="749D6C9E" w:rsidR="00C937A5" w:rsidRPr="00C937A5" w:rsidRDefault="00C937A5" w:rsidP="00C937A5">
      <w:pPr>
        <w:rPr>
          <w:color w:val="000000" w:themeColor="text1"/>
        </w:rPr>
      </w:pPr>
      <w:r w:rsidRPr="00C937A5">
        <w:rPr>
          <w:color w:val="000000" w:themeColor="text1"/>
        </w:rPr>
        <w:t xml:space="preserve">A Conflict of Interest may arise where the Bank’s remuneration practice could incentivise an Employee to act contrary to their responsibilities, regulatory requirements or the Bank’s </w:t>
      </w:r>
      <w:r w:rsidRPr="000C16AA">
        <w:t>Code of Conduct</w:t>
      </w:r>
      <w:r w:rsidRPr="00C937A5">
        <w:rPr>
          <w:color w:val="000000" w:themeColor="text1"/>
        </w:rPr>
        <w:t xml:space="preserve">. Under the </w:t>
      </w:r>
      <w:r w:rsidR="00910558">
        <w:rPr>
          <w:bCs/>
          <w:color w:val="000000" w:themeColor="text1"/>
          <w:u w:val="single"/>
        </w:rPr>
        <w:t>Performance, Consequences, and Reward</w:t>
      </w:r>
      <w:r w:rsidRPr="00C937A5">
        <w:rPr>
          <w:bCs/>
          <w:color w:val="000000" w:themeColor="text1"/>
          <w:u w:val="single"/>
        </w:rPr>
        <w:t xml:space="preserve"> Policy - Deutsche Bank Group</w:t>
      </w:r>
      <w:r w:rsidRPr="00C937A5">
        <w:rPr>
          <w:color w:val="000000" w:themeColor="text1"/>
        </w:rPr>
        <w:t>, the Bank has a compensation framework in place to align compensation practices to avoid such an incentive. This policy includes a section on “Investment, Banking and Credit Services” which specifically addresses remuneration in connection with MiFID Business. The purpose of the specific requirements set out in this section is to avoid Client interests being adversely affected by the Bank’s incentive and remuneration practices.</w:t>
      </w:r>
    </w:p>
    <w:p w14:paraId="3CBAF9D1" w14:textId="77777777" w:rsidR="00C937A5" w:rsidRPr="00C937A5" w:rsidRDefault="00C937A5" w:rsidP="00FF30BA">
      <w:pPr>
        <w:pStyle w:val="berschrift3"/>
      </w:pPr>
      <w:bookmarkStart w:id="67" w:name="_Toc126708398"/>
      <w:bookmarkStart w:id="68" w:name="_Toc126712049"/>
      <w:r w:rsidRPr="00C937A5">
        <w:t>Outside Business Interests</w:t>
      </w:r>
      <w:bookmarkEnd w:id="67"/>
      <w:bookmarkEnd w:id="68"/>
    </w:p>
    <w:p w14:paraId="6C0EA509" w14:textId="5D458AA9" w:rsidR="00C937A5" w:rsidRPr="00C937A5" w:rsidRDefault="00C937A5" w:rsidP="00C937A5">
      <w:pPr>
        <w:rPr>
          <w:color w:val="000000" w:themeColor="text1"/>
        </w:rPr>
      </w:pPr>
      <w:r w:rsidRPr="00C937A5">
        <w:rPr>
          <w:color w:val="000000" w:themeColor="text1"/>
        </w:rPr>
        <w:t xml:space="preserve">A Conflict of Interest may arise between an Employee’s Outside Business Interests and the interests of the Bank and its Clients. The </w:t>
      </w:r>
      <w:r w:rsidRPr="00C937A5">
        <w:rPr>
          <w:bCs/>
          <w:color w:val="000000" w:themeColor="text1"/>
          <w:u w:val="single"/>
        </w:rPr>
        <w:t>Outside Business Interests Policy - Deutsche Bank Group</w:t>
      </w:r>
      <w:r w:rsidRPr="00C937A5">
        <w:rPr>
          <w:bCs/>
          <w:color w:val="000000" w:themeColor="text1"/>
        </w:rPr>
        <w:t xml:space="preserve"> </w:t>
      </w:r>
      <w:r w:rsidRPr="00C937A5">
        <w:rPr>
          <w:color w:val="000000" w:themeColor="text1"/>
        </w:rPr>
        <w:t>imposes disclosure and approval requirements, enabling the identification, management and, where necessary, prohibition of Outside Business Interests that may give rise to Conflicts of Interest. An electronic register of Outside Business Interests is maintained by the Bank, reviewed periodically and utilised for conflicts management purposes.</w:t>
      </w:r>
    </w:p>
    <w:p w14:paraId="08DE4083" w14:textId="77777777" w:rsidR="00C937A5" w:rsidRPr="00C937A5" w:rsidRDefault="00C937A5" w:rsidP="00FF30BA">
      <w:pPr>
        <w:pStyle w:val="berschrift3"/>
      </w:pPr>
      <w:bookmarkStart w:id="69" w:name="_Toc126708399"/>
      <w:bookmarkStart w:id="70" w:name="_Toc126712050"/>
      <w:r w:rsidRPr="00C937A5">
        <w:lastRenderedPageBreak/>
        <w:t>Employee Trading</w:t>
      </w:r>
      <w:bookmarkEnd w:id="69"/>
      <w:bookmarkEnd w:id="70"/>
    </w:p>
    <w:p w14:paraId="515D86FA" w14:textId="3AAA8231" w:rsidR="00C937A5" w:rsidRPr="00C937A5" w:rsidRDefault="00C937A5" w:rsidP="00C937A5">
      <w:pPr>
        <w:rPr>
          <w:color w:val="000000" w:themeColor="text1"/>
        </w:rPr>
      </w:pPr>
      <w:r w:rsidRPr="00C937A5">
        <w:rPr>
          <w:color w:val="000000" w:themeColor="text1"/>
        </w:rPr>
        <w:t xml:space="preserve">A Conflict of Interest may arise between an Employee and the Bank or its Clients by virtue of Employee Trading. The </w:t>
      </w:r>
      <w:r w:rsidRPr="00C937A5">
        <w:rPr>
          <w:bCs/>
          <w:color w:val="000000" w:themeColor="text1"/>
          <w:u w:val="single"/>
        </w:rPr>
        <w:t>Personal Account Dealing Policy - Deutsche Bank Group</w:t>
      </w:r>
      <w:r w:rsidRPr="00C937A5">
        <w:rPr>
          <w:color w:val="000000" w:themeColor="text1"/>
        </w:rPr>
        <w:t xml:space="preserve"> requires disclosure and approval for personal trading accounts and pre-clearance for specific trading activity. The approval or rejection of an Employee Trading request is based on consideration of the Bank’s group-wide activities and engagement with its </w:t>
      </w:r>
      <w:proofErr w:type="gramStart"/>
      <w:r w:rsidRPr="00C937A5">
        <w:rPr>
          <w:color w:val="000000" w:themeColor="text1"/>
        </w:rPr>
        <w:t>Clients</w:t>
      </w:r>
      <w:proofErr w:type="gramEnd"/>
      <w:r w:rsidRPr="00C937A5">
        <w:rPr>
          <w:color w:val="000000" w:themeColor="text1"/>
        </w:rPr>
        <w:t xml:space="preserve"> </w:t>
      </w:r>
      <w:proofErr w:type="gramStart"/>
      <w:r w:rsidRPr="00C937A5">
        <w:rPr>
          <w:color w:val="000000" w:themeColor="text1"/>
        </w:rPr>
        <w:t>in order to</w:t>
      </w:r>
      <w:proofErr w:type="gramEnd"/>
      <w:r w:rsidRPr="00C937A5">
        <w:rPr>
          <w:color w:val="000000" w:themeColor="text1"/>
        </w:rPr>
        <w:t xml:space="preserve"> identify and thereby manage or avoid any Conflicts of Interest. </w:t>
      </w:r>
    </w:p>
    <w:p w14:paraId="0C10172A" w14:textId="77777777" w:rsidR="00C937A5" w:rsidRPr="00C937A5" w:rsidRDefault="00C937A5" w:rsidP="00FF30BA">
      <w:pPr>
        <w:pStyle w:val="berschrift3"/>
      </w:pPr>
      <w:bookmarkStart w:id="71" w:name="_Toc126708400"/>
      <w:bookmarkStart w:id="72" w:name="_Toc126712051"/>
      <w:r w:rsidRPr="00C937A5">
        <w:t>Gifts and Entertainment</w:t>
      </w:r>
      <w:bookmarkEnd w:id="71"/>
      <w:bookmarkEnd w:id="72"/>
    </w:p>
    <w:p w14:paraId="605560C6" w14:textId="7AF545D4" w:rsidR="00C937A5" w:rsidRPr="00C937A5" w:rsidRDefault="00C937A5" w:rsidP="00C937A5">
      <w:pPr>
        <w:rPr>
          <w:color w:val="000000" w:themeColor="text1"/>
        </w:rPr>
      </w:pPr>
      <w:r w:rsidRPr="00C937A5">
        <w:rPr>
          <w:color w:val="000000" w:themeColor="text1"/>
        </w:rPr>
        <w:t xml:space="preserve">A Conflict of Interest may arise where an Employee receives or offers a gift or entertainment that constitutes an inappropriate incentive for an Employee, Third Party Representative, Client or Vendor to act in a certain way. The </w:t>
      </w:r>
      <w:r w:rsidRPr="00C937A5">
        <w:rPr>
          <w:rFonts w:eastAsia="Times New Roman" w:cs="Times New Roman"/>
          <w:color w:val="000000" w:themeColor="text1"/>
          <w:u w:val="single"/>
        </w:rPr>
        <w:t xml:space="preserve">Anti-Bribery and Corruption Policy – Deutsche Bank Group </w:t>
      </w:r>
      <w:r w:rsidRPr="00C937A5">
        <w:rPr>
          <w:color w:val="000000" w:themeColor="text1"/>
        </w:rPr>
        <w:t>does not permit the offering or acceptance of gifts or entertainment by an Employee unless it is reasonable, proportionate and for a legitimate business purpose. Where applicable, Employees must obtain pre-approval for gifts and entertainment and approval will depend, among other criteria, on whether it may give rise to a Conflict of Interest.</w:t>
      </w:r>
    </w:p>
    <w:p w14:paraId="466E86D0" w14:textId="77777777" w:rsidR="00C937A5" w:rsidRPr="00C937A5" w:rsidRDefault="00C937A5" w:rsidP="00FF30BA">
      <w:pPr>
        <w:pStyle w:val="berschrift3"/>
      </w:pPr>
      <w:bookmarkStart w:id="73" w:name="_Toc126708401"/>
      <w:bookmarkStart w:id="74" w:name="_Toc126712052"/>
      <w:r w:rsidRPr="00C937A5">
        <w:t xml:space="preserve">Vendors and </w:t>
      </w:r>
      <w:proofErr w:type="gramStart"/>
      <w:r w:rsidRPr="00C937A5">
        <w:t>Third Party</w:t>
      </w:r>
      <w:proofErr w:type="gramEnd"/>
      <w:r w:rsidRPr="00C937A5">
        <w:t xml:space="preserve"> Representatives</w:t>
      </w:r>
      <w:bookmarkEnd w:id="73"/>
      <w:bookmarkEnd w:id="74"/>
    </w:p>
    <w:p w14:paraId="1936AF35" w14:textId="752FBD96" w:rsidR="00C937A5" w:rsidRPr="00C937A5" w:rsidRDefault="00C937A5" w:rsidP="00C937A5">
      <w:pPr>
        <w:rPr>
          <w:color w:val="000000" w:themeColor="text1"/>
        </w:rPr>
      </w:pPr>
      <w:r w:rsidRPr="00C937A5">
        <w:rPr>
          <w:color w:val="000000" w:themeColor="text1"/>
        </w:rPr>
        <w:t xml:space="preserve">A Conflict of Interest may arise in the Bank’s interaction with Vendors and </w:t>
      </w:r>
      <w:proofErr w:type="gramStart"/>
      <w:r w:rsidRPr="00C937A5">
        <w:rPr>
          <w:color w:val="000000" w:themeColor="text1"/>
        </w:rPr>
        <w:t>Third Party</w:t>
      </w:r>
      <w:proofErr w:type="gramEnd"/>
      <w:r w:rsidRPr="00C937A5">
        <w:rPr>
          <w:color w:val="000000" w:themeColor="text1"/>
        </w:rPr>
        <w:t xml:space="preserve"> Representatives where, for example, an Employee involved in the procurement or hiring process has a close relationship with a particular Vendor or </w:t>
      </w:r>
      <w:proofErr w:type="gramStart"/>
      <w:r w:rsidRPr="00C937A5">
        <w:rPr>
          <w:color w:val="000000" w:themeColor="text1"/>
        </w:rPr>
        <w:t>Third Party</w:t>
      </w:r>
      <w:proofErr w:type="gramEnd"/>
      <w:r w:rsidRPr="00C937A5">
        <w:rPr>
          <w:color w:val="000000" w:themeColor="text1"/>
        </w:rPr>
        <w:t xml:space="preserve"> Representative. The Bank has a </w:t>
      </w:r>
      <w:r w:rsidRPr="00C937A5">
        <w:rPr>
          <w:rFonts w:eastAsia="Times New Roman" w:cs="Times New Roman"/>
          <w:bCs/>
          <w:color w:val="000000" w:themeColor="text1"/>
          <w:u w:val="single"/>
        </w:rPr>
        <w:t>Procurement Policy - Deutsche Bank Group</w:t>
      </w:r>
      <w:r w:rsidRPr="00C937A5">
        <w:rPr>
          <w:rFonts w:eastAsia="Times New Roman" w:cs="Times New Roman"/>
          <w:bCs/>
          <w:color w:val="000000" w:themeColor="text1"/>
        </w:rPr>
        <w:t xml:space="preserve"> </w:t>
      </w:r>
      <w:r w:rsidRPr="00C937A5">
        <w:rPr>
          <w:color w:val="000000" w:themeColor="text1"/>
        </w:rPr>
        <w:t xml:space="preserve">and operates multiple systems, controls, policies and procedures to manage these interactions, including due diligence requirements, contractual arrangements and an obligation on Employees to disclose matters that might give rise to a Conflict of Interest. In addition, where a Vendor is also an actual or potential Client of the Bank, the Bank seeks to manage these relationships independently and on an arm’s length basis under rules of engagement established between the Bank, Vendors and Clients </w:t>
      </w:r>
      <w:proofErr w:type="gramStart"/>
      <w:r w:rsidRPr="00C937A5">
        <w:rPr>
          <w:color w:val="000000" w:themeColor="text1"/>
        </w:rPr>
        <w:t>in order to</w:t>
      </w:r>
      <w:proofErr w:type="gramEnd"/>
      <w:r w:rsidRPr="00C937A5">
        <w:rPr>
          <w:color w:val="000000" w:themeColor="text1"/>
        </w:rPr>
        <w:t xml:space="preserve"> manage any Conflicts of Interest.</w:t>
      </w:r>
    </w:p>
    <w:p w14:paraId="2E0FD013" w14:textId="7DE137F3" w:rsidR="00C937A5" w:rsidRPr="00C937A5" w:rsidRDefault="00C937A5" w:rsidP="00FF30BA">
      <w:r w:rsidRPr="00C937A5">
        <w:rPr>
          <w:color w:val="000000" w:themeColor="text1"/>
        </w:rPr>
        <w:t xml:space="preserve">In limited circumstances, and in accordance with the </w:t>
      </w:r>
      <w:r w:rsidRPr="00C937A5">
        <w:rPr>
          <w:bCs/>
          <w:color w:val="000000" w:themeColor="text1"/>
          <w:u w:val="single"/>
        </w:rPr>
        <w:t>Conflicts of Interest Procedure – TDI</w:t>
      </w:r>
      <w:r w:rsidRPr="00C937A5">
        <w:rPr>
          <w:color w:val="000000" w:themeColor="text1"/>
        </w:rPr>
        <w:t xml:space="preserve">  and the </w:t>
      </w:r>
      <w:r w:rsidRPr="00C937A5">
        <w:rPr>
          <w:rFonts w:eastAsia="Times New Roman" w:cs="Times New Roman"/>
          <w:color w:val="000000" w:themeColor="text1"/>
          <w:u w:val="single"/>
        </w:rPr>
        <w:t>TDI Client Engagement Interaction Guidance</w:t>
      </w:r>
      <w:r w:rsidRPr="00C937A5">
        <w:rPr>
          <w:color w:val="000000" w:themeColor="text1"/>
        </w:rPr>
        <w:t>, DB may appropriately factor in broader client/vendor relationship considerations into a sourcing decision after escalation to appropriate review bodies, including, as appropriate, Legal, the Conflicts Office, the TDI Client Engagement team, and Senior Manage</w:t>
      </w:r>
      <w:r w:rsidR="00CE6646">
        <w:rPr>
          <w:color w:val="000000" w:themeColor="text1"/>
        </w:rPr>
        <w:t>rs</w:t>
      </w:r>
      <w:r w:rsidRPr="00C937A5">
        <w:rPr>
          <w:color w:val="000000" w:themeColor="text1"/>
        </w:rPr>
        <w:t xml:space="preserve"> from the relevant divisions, and approval by the Management Board.</w:t>
      </w:r>
    </w:p>
    <w:p w14:paraId="2174737A" w14:textId="77777777" w:rsidR="00C937A5" w:rsidRDefault="00C937A5" w:rsidP="00D31F7B">
      <w:pPr>
        <w:pBdr>
          <w:bottom w:val="single" w:sz="6" w:space="1" w:color="auto"/>
        </w:pBdr>
      </w:pPr>
    </w:p>
    <w:p w14:paraId="01107346" w14:textId="77777777" w:rsidR="005F118C" w:rsidRPr="001D1908" w:rsidRDefault="005F118C" w:rsidP="006537E5">
      <w:pPr>
        <w:pStyle w:val="berschrift1"/>
      </w:pPr>
      <w:bookmarkStart w:id="75" w:name="_Ref105522730"/>
      <w:bookmarkStart w:id="76" w:name="_Toc211502447"/>
      <w:r w:rsidRPr="001D1908">
        <w:t>Glossary</w:t>
      </w:r>
      <w:bookmarkEnd w:id="75"/>
      <w:bookmarkEnd w:id="76"/>
    </w:p>
    <w:tbl>
      <w:tblPr>
        <w:tblStyle w:val="Glossarytable"/>
        <w:tblW w:w="9071" w:type="dxa"/>
        <w:tblLook w:val="0620" w:firstRow="1" w:lastRow="0" w:firstColumn="0" w:lastColumn="0" w:noHBand="1" w:noVBand="1"/>
      </w:tblPr>
      <w:tblGrid>
        <w:gridCol w:w="2268"/>
        <w:gridCol w:w="6803"/>
      </w:tblGrid>
      <w:tr w:rsidR="00566F86" w:rsidRPr="009D618C" w14:paraId="1C560DC3" w14:textId="77777777" w:rsidTr="00C73784">
        <w:trPr>
          <w:cnfStyle w:val="100000000000" w:firstRow="1" w:lastRow="0" w:firstColumn="0" w:lastColumn="0" w:oddVBand="0" w:evenVBand="0" w:oddHBand="0" w:evenHBand="0" w:firstRowFirstColumn="0" w:firstRowLastColumn="0" w:lastRowFirstColumn="0" w:lastRowLastColumn="0"/>
          <w:cantSplit w:val="0"/>
          <w:trHeight w:val="166"/>
          <w:tblHeader/>
        </w:trPr>
        <w:tc>
          <w:tcPr>
            <w:tcW w:w="2268" w:type="dxa"/>
          </w:tcPr>
          <w:p w14:paraId="6F23016B" w14:textId="77777777" w:rsidR="00566F86" w:rsidRPr="009D618C" w:rsidRDefault="00566F86" w:rsidP="009D618C">
            <w:pPr>
              <w:pStyle w:val="Glossary"/>
            </w:pPr>
            <w:r w:rsidRPr="009D618C">
              <w:t>Term</w:t>
            </w:r>
          </w:p>
        </w:tc>
        <w:tc>
          <w:tcPr>
            <w:tcW w:w="6803" w:type="dxa"/>
          </w:tcPr>
          <w:p w14:paraId="2CFA6088" w14:textId="77777777" w:rsidR="00566F86" w:rsidRPr="009D618C" w:rsidRDefault="00566F86" w:rsidP="009D618C">
            <w:pPr>
              <w:pStyle w:val="Glossary"/>
            </w:pPr>
            <w:r w:rsidRPr="009D618C">
              <w:t>Definition</w:t>
            </w:r>
          </w:p>
        </w:tc>
      </w:tr>
      <w:tr w:rsidR="00C551AC" w:rsidRPr="009D618C" w14:paraId="7E06AEC0" w14:textId="77777777" w:rsidTr="00C73784">
        <w:trPr>
          <w:cantSplit w:val="0"/>
          <w:trHeight w:val="166"/>
        </w:trPr>
        <w:tc>
          <w:tcPr>
            <w:tcW w:w="2268" w:type="dxa"/>
          </w:tcPr>
          <w:p w14:paraId="2EE3447E" w14:textId="49DBAD7A" w:rsidR="00C551AC" w:rsidRPr="009D618C" w:rsidRDefault="00CF3E39" w:rsidP="009D618C">
            <w:pPr>
              <w:pStyle w:val="Glossary"/>
            </w:pPr>
            <w:r>
              <w:t>Bank</w:t>
            </w:r>
          </w:p>
        </w:tc>
        <w:tc>
          <w:tcPr>
            <w:tcW w:w="6803" w:type="dxa"/>
          </w:tcPr>
          <w:p w14:paraId="5FC75B4E" w14:textId="734BFAA2" w:rsidR="00C551AC" w:rsidRPr="009D618C" w:rsidRDefault="00BE4468" w:rsidP="009D618C">
            <w:pPr>
              <w:pStyle w:val="Glossary"/>
            </w:pPr>
            <w:r w:rsidRPr="0083284E">
              <w:t>Deutsche Bank AG, its domestic and foreign branches, its representative offices and DB Group Entities</w:t>
            </w:r>
            <w:r w:rsidRPr="009D618C" w:rsidDel="00CF3E39">
              <w:t xml:space="preserve"> </w:t>
            </w:r>
          </w:p>
        </w:tc>
      </w:tr>
      <w:tr w:rsidR="00BE4468" w:rsidRPr="009D618C" w14:paraId="07A57822" w14:textId="77777777" w:rsidTr="00C73784">
        <w:trPr>
          <w:cantSplit w:val="0"/>
          <w:trHeight w:val="166"/>
        </w:trPr>
        <w:tc>
          <w:tcPr>
            <w:tcW w:w="2268" w:type="dxa"/>
          </w:tcPr>
          <w:p w14:paraId="4838B03B" w14:textId="4A2A548D" w:rsidR="00BE4468" w:rsidRDefault="00BE4468" w:rsidP="00BE4468">
            <w:pPr>
              <w:pStyle w:val="Glossary"/>
            </w:pPr>
            <w:r>
              <w:t>Benchmark</w:t>
            </w:r>
          </w:p>
        </w:tc>
        <w:tc>
          <w:tcPr>
            <w:tcW w:w="6803" w:type="dxa"/>
          </w:tcPr>
          <w:p w14:paraId="0DDA31BB" w14:textId="7C8CDAC7" w:rsidR="00BE4468" w:rsidRPr="0083284E" w:rsidRDefault="00BE4468" w:rsidP="00BE4468">
            <w:pPr>
              <w:autoSpaceDE w:val="0"/>
              <w:autoSpaceDN w:val="0"/>
              <w:adjustRightInd w:val="0"/>
              <w:rPr>
                <w:rFonts w:cs="Deutsche Bank Text"/>
                <w:bCs/>
                <w:szCs w:val="18"/>
              </w:rPr>
            </w:pPr>
            <w:r>
              <w:rPr>
                <w:rFonts w:cs="Deutsche Bank Text"/>
                <w:szCs w:val="18"/>
              </w:rPr>
              <w:t>A</w:t>
            </w:r>
            <w:r w:rsidRPr="0083284E">
              <w:rPr>
                <w:rFonts w:cs="Deutsche Bank Text"/>
                <w:szCs w:val="18"/>
              </w:rPr>
              <w:t xml:space="preserve"> “Benchmark” is defined under the </w:t>
            </w:r>
            <w:r w:rsidRPr="000C16AA">
              <w:rPr>
                <w:rFonts w:cs="Deutsche Bank Text"/>
                <w:szCs w:val="18"/>
              </w:rPr>
              <w:t>Benchmark Policy</w:t>
            </w:r>
            <w:r w:rsidRPr="0083284E">
              <w:rPr>
                <w:rStyle w:val="Hyperlink"/>
                <w:rFonts w:cs="Deutsche Bank Text"/>
                <w:szCs w:val="18"/>
              </w:rPr>
              <w:t xml:space="preserve"> </w:t>
            </w:r>
            <w:r w:rsidRPr="0083284E">
              <w:rPr>
                <w:rFonts w:cs="Deutsche Bank Text"/>
                <w:szCs w:val="18"/>
              </w:rPr>
              <w:t>as any index which is used for reference for purposes that include one or more of the following:</w:t>
            </w:r>
          </w:p>
          <w:p w14:paraId="06B28909" w14:textId="77777777" w:rsidR="00BE4468" w:rsidRPr="0083284E" w:rsidRDefault="00BE4468" w:rsidP="00BE4468">
            <w:pPr>
              <w:pStyle w:val="Listenabsatz"/>
              <w:numPr>
                <w:ilvl w:val="0"/>
                <w:numId w:val="56"/>
              </w:numPr>
              <w:tabs>
                <w:tab w:val="left" w:pos="357"/>
              </w:tabs>
              <w:autoSpaceDE w:val="0"/>
              <w:autoSpaceDN w:val="0"/>
              <w:adjustRightInd w:val="0"/>
              <w:rPr>
                <w:rFonts w:cs="Deutsche Bank Text"/>
                <w:bCs/>
                <w:szCs w:val="18"/>
              </w:rPr>
            </w:pPr>
            <w:r w:rsidRPr="0083284E">
              <w:rPr>
                <w:rFonts w:cs="Deutsche Bank Text"/>
                <w:szCs w:val="18"/>
              </w:rPr>
              <w:t xml:space="preserve">determining the interest payable, or other sums due, under loan agreements or under other financial contracts or </w:t>
            </w:r>
            <w:proofErr w:type="gramStart"/>
            <w:r w:rsidRPr="0083284E">
              <w:rPr>
                <w:rFonts w:cs="Deutsche Bank Text"/>
                <w:szCs w:val="18"/>
              </w:rPr>
              <w:t>instruments;</w:t>
            </w:r>
            <w:proofErr w:type="gramEnd"/>
          </w:p>
          <w:p w14:paraId="07032955" w14:textId="77777777" w:rsidR="00BE4468" w:rsidRPr="00BE4468" w:rsidRDefault="00BE4468" w:rsidP="00BE4468">
            <w:pPr>
              <w:pStyle w:val="Listenabsatz"/>
              <w:numPr>
                <w:ilvl w:val="0"/>
                <w:numId w:val="56"/>
              </w:numPr>
              <w:tabs>
                <w:tab w:val="left" w:pos="357"/>
              </w:tabs>
              <w:autoSpaceDE w:val="0"/>
              <w:autoSpaceDN w:val="0"/>
              <w:adjustRightInd w:val="0"/>
              <w:ind w:left="714" w:hanging="357"/>
              <w:rPr>
                <w:rFonts w:cs="Deutsche Bank Text"/>
                <w:bCs/>
                <w:szCs w:val="18"/>
              </w:rPr>
            </w:pPr>
            <w:r w:rsidRPr="0083284E">
              <w:rPr>
                <w:rFonts w:cs="Deutsche Bank Text"/>
                <w:szCs w:val="18"/>
              </w:rPr>
              <w:t>determining the price at which a financial instrument may be bought or sold or traded or redeemed, or the value of a financial instrument; and/or</w:t>
            </w:r>
          </w:p>
          <w:p w14:paraId="41CD9A4E" w14:textId="143D1960" w:rsidR="00BE4468" w:rsidRPr="00BE4468" w:rsidDel="00CF3E39" w:rsidRDefault="00BE4468" w:rsidP="008357C7">
            <w:pPr>
              <w:pStyle w:val="Listenabsatz"/>
              <w:numPr>
                <w:ilvl w:val="0"/>
                <w:numId w:val="56"/>
              </w:numPr>
              <w:tabs>
                <w:tab w:val="left" w:pos="357"/>
              </w:tabs>
              <w:autoSpaceDE w:val="0"/>
              <w:autoSpaceDN w:val="0"/>
              <w:adjustRightInd w:val="0"/>
              <w:ind w:left="714" w:hanging="357"/>
              <w:rPr>
                <w:bCs/>
              </w:rPr>
            </w:pPr>
            <w:r w:rsidRPr="0083284E">
              <w:lastRenderedPageBreak/>
              <w:t>measuring the performance of a financial instrument or an investment fund.</w:t>
            </w:r>
            <w:r w:rsidRPr="0083284E">
              <w:rPr>
                <w:rStyle w:val="Funotenzeichen"/>
              </w:rPr>
              <w:footnoteReference w:id="2"/>
            </w:r>
          </w:p>
        </w:tc>
      </w:tr>
      <w:tr w:rsidR="00BE4468" w:rsidRPr="009D618C" w14:paraId="777CE78E" w14:textId="77777777" w:rsidTr="00C73784">
        <w:trPr>
          <w:cantSplit w:val="0"/>
          <w:trHeight w:val="166"/>
        </w:trPr>
        <w:tc>
          <w:tcPr>
            <w:tcW w:w="2268" w:type="dxa"/>
          </w:tcPr>
          <w:p w14:paraId="41E43875" w14:textId="59C046C2" w:rsidR="00BE4468" w:rsidRDefault="00BE4468" w:rsidP="00BE4468">
            <w:pPr>
              <w:pStyle w:val="Glossary"/>
            </w:pPr>
            <w:r>
              <w:lastRenderedPageBreak/>
              <w:t>Board</w:t>
            </w:r>
          </w:p>
        </w:tc>
        <w:tc>
          <w:tcPr>
            <w:tcW w:w="6803" w:type="dxa"/>
          </w:tcPr>
          <w:p w14:paraId="6B56AECD" w14:textId="7B317042" w:rsidR="00BE4468" w:rsidRPr="009D618C" w:rsidDel="00CF3E39" w:rsidRDefault="00BE4468" w:rsidP="00BE4468">
            <w:pPr>
              <w:pStyle w:val="Glossary"/>
            </w:pPr>
            <w:r>
              <w:t>T</w:t>
            </w:r>
            <w:r w:rsidRPr="0083284E">
              <w:t>he governance body or bodies with responsibility for a DB Group Entity</w:t>
            </w:r>
          </w:p>
        </w:tc>
      </w:tr>
      <w:tr w:rsidR="00BE4468" w:rsidRPr="009D618C" w14:paraId="0EB3E178" w14:textId="77777777" w:rsidTr="00C73784">
        <w:trPr>
          <w:cantSplit w:val="0"/>
        </w:trPr>
        <w:tc>
          <w:tcPr>
            <w:tcW w:w="2268" w:type="dxa"/>
          </w:tcPr>
          <w:p w14:paraId="7D988A43" w14:textId="69C7580B" w:rsidR="00BE4468" w:rsidRDefault="00BE4468" w:rsidP="00BE4468">
            <w:pPr>
              <w:pStyle w:val="Glossary"/>
            </w:pPr>
            <w:r>
              <w:t>Business Allocation Plan</w:t>
            </w:r>
          </w:p>
        </w:tc>
        <w:tc>
          <w:tcPr>
            <w:tcW w:w="6803" w:type="dxa"/>
          </w:tcPr>
          <w:p w14:paraId="5FFD2CFD" w14:textId="0619EFE0" w:rsidR="00BE4468" w:rsidRPr="009D618C" w:rsidDel="00CF3E39" w:rsidRDefault="00A504E2" w:rsidP="00BE4468">
            <w:pPr>
              <w:pStyle w:val="Glossary"/>
            </w:pPr>
            <w:r w:rsidRPr="00A504E2">
              <w:t>Documents the allocation of responsibilities amongst the members of the Management Board of DB AG</w:t>
            </w:r>
          </w:p>
        </w:tc>
      </w:tr>
      <w:tr w:rsidR="00BE4468" w:rsidRPr="009D618C" w14:paraId="05F05B9F" w14:textId="77777777" w:rsidTr="00C73784">
        <w:trPr>
          <w:cantSplit w:val="0"/>
        </w:trPr>
        <w:tc>
          <w:tcPr>
            <w:tcW w:w="2268" w:type="dxa"/>
          </w:tcPr>
          <w:p w14:paraId="616AFFC6" w14:textId="497C08A0" w:rsidR="00BE4468" w:rsidRPr="009D618C" w:rsidRDefault="00BE4468" w:rsidP="00BE4468">
            <w:pPr>
              <w:pStyle w:val="Glossary"/>
            </w:pPr>
            <w:r>
              <w:t>Client</w:t>
            </w:r>
          </w:p>
        </w:tc>
        <w:tc>
          <w:tcPr>
            <w:tcW w:w="6803" w:type="dxa"/>
          </w:tcPr>
          <w:p w14:paraId="46C2CCEA" w14:textId="4378DB4E" w:rsidR="00BE4468" w:rsidRPr="0083284E" w:rsidRDefault="00BE4468" w:rsidP="00BE4468">
            <w:pPr>
              <w:autoSpaceDE w:val="0"/>
              <w:autoSpaceDN w:val="0"/>
              <w:adjustRightInd w:val="0"/>
              <w:rPr>
                <w:rFonts w:cs="Deutsche Bank Text"/>
                <w:szCs w:val="18"/>
              </w:rPr>
            </w:pPr>
            <w:r>
              <w:rPr>
                <w:rFonts w:cs="Deutsche Bank Text"/>
                <w:szCs w:val="18"/>
              </w:rPr>
              <w:t>A</w:t>
            </w:r>
            <w:r w:rsidRPr="0083284E">
              <w:rPr>
                <w:rFonts w:cs="Deutsche Bank Text"/>
                <w:szCs w:val="18"/>
              </w:rPr>
              <w:t xml:space="preserve">ny of the following: </w:t>
            </w:r>
          </w:p>
          <w:p w14:paraId="3A3BFD1B" w14:textId="77777777" w:rsidR="00BE4468" w:rsidRPr="0083284E" w:rsidRDefault="00BE4468" w:rsidP="00BE4468">
            <w:pPr>
              <w:numPr>
                <w:ilvl w:val="0"/>
                <w:numId w:val="57"/>
              </w:numPr>
              <w:tabs>
                <w:tab w:val="left" w:pos="357"/>
              </w:tabs>
              <w:rPr>
                <w:rFonts w:cs="Deutsche Bank Text"/>
                <w:bCs/>
                <w:szCs w:val="18"/>
              </w:rPr>
            </w:pPr>
            <w:r w:rsidRPr="0083284E">
              <w:rPr>
                <w:rFonts w:cs="Deutsche Bank Text"/>
                <w:szCs w:val="18"/>
              </w:rPr>
              <w:t xml:space="preserve">an existing client of the </w:t>
            </w:r>
            <w:proofErr w:type="gramStart"/>
            <w:r w:rsidRPr="0083284E">
              <w:rPr>
                <w:rFonts w:cs="Deutsche Bank Text"/>
                <w:szCs w:val="18"/>
              </w:rPr>
              <w:t>Bank;</w:t>
            </w:r>
            <w:proofErr w:type="gramEnd"/>
          </w:p>
          <w:p w14:paraId="1BE9FEB5" w14:textId="77777777" w:rsidR="00BE4468" w:rsidRPr="00BE4468" w:rsidRDefault="00BE4468" w:rsidP="00BE4468">
            <w:pPr>
              <w:numPr>
                <w:ilvl w:val="0"/>
                <w:numId w:val="57"/>
              </w:numPr>
              <w:tabs>
                <w:tab w:val="left" w:pos="357"/>
              </w:tabs>
              <w:rPr>
                <w:rFonts w:cs="Deutsche Bank Text"/>
                <w:bCs/>
                <w:szCs w:val="18"/>
              </w:rPr>
            </w:pPr>
            <w:r w:rsidRPr="0083284E">
              <w:rPr>
                <w:rFonts w:cs="Deutsche Bank Text"/>
                <w:szCs w:val="18"/>
              </w:rPr>
              <w:t xml:space="preserve">a potential client of the Bank (where the Bank is seeking to </w:t>
            </w:r>
            <w:proofErr w:type="gramStart"/>
            <w:r w:rsidRPr="0083284E">
              <w:rPr>
                <w:rFonts w:cs="Deutsche Bank Text"/>
                <w:szCs w:val="18"/>
              </w:rPr>
              <w:t>enter into</w:t>
            </w:r>
            <w:proofErr w:type="gramEnd"/>
            <w:r w:rsidRPr="0083284E">
              <w:rPr>
                <w:rFonts w:cs="Deutsche Bank Text"/>
                <w:szCs w:val="18"/>
              </w:rPr>
              <w:t xml:space="preserve"> a relationship with the potential client in respect of services or transactions); or</w:t>
            </w:r>
          </w:p>
          <w:p w14:paraId="60E32ADD" w14:textId="3663CC13" w:rsidR="00BE4468" w:rsidRPr="00BE4468" w:rsidRDefault="00BE4468" w:rsidP="008357C7">
            <w:pPr>
              <w:numPr>
                <w:ilvl w:val="0"/>
                <w:numId w:val="57"/>
              </w:numPr>
              <w:tabs>
                <w:tab w:val="left" w:pos="357"/>
              </w:tabs>
              <w:rPr>
                <w:bCs/>
              </w:rPr>
            </w:pPr>
            <w:r w:rsidRPr="0083284E">
              <w:t>a past client where fiduciary or other duties remain in place</w:t>
            </w:r>
          </w:p>
        </w:tc>
      </w:tr>
      <w:tr w:rsidR="00BE4468" w:rsidRPr="009D618C" w14:paraId="4F327F16" w14:textId="77777777" w:rsidTr="00C73784">
        <w:trPr>
          <w:cantSplit w:val="0"/>
        </w:trPr>
        <w:tc>
          <w:tcPr>
            <w:tcW w:w="2268" w:type="dxa"/>
          </w:tcPr>
          <w:p w14:paraId="15BA30E6" w14:textId="0A044A94" w:rsidR="00BE4468" w:rsidRDefault="00BE4468" w:rsidP="00BE4468">
            <w:pPr>
              <w:pStyle w:val="Glossary"/>
            </w:pPr>
            <w:r>
              <w:t>Close Personal Relationship</w:t>
            </w:r>
          </w:p>
        </w:tc>
        <w:tc>
          <w:tcPr>
            <w:tcW w:w="6803" w:type="dxa"/>
          </w:tcPr>
          <w:p w14:paraId="4D2D833C" w14:textId="77777777" w:rsidR="00CE6646" w:rsidRPr="0083284E" w:rsidRDefault="00CE6646" w:rsidP="00CE6646">
            <w:pPr>
              <w:autoSpaceDE w:val="0"/>
              <w:autoSpaceDN w:val="0"/>
              <w:adjustRightInd w:val="0"/>
              <w:rPr>
                <w:rFonts w:cs="Deutsche Bank Text"/>
                <w:szCs w:val="18"/>
              </w:rPr>
            </w:pPr>
            <w:r w:rsidRPr="0083284E">
              <w:rPr>
                <w:rFonts w:cs="Deutsche Bank Text"/>
                <w:szCs w:val="18"/>
              </w:rPr>
              <w:t>any of the following:</w:t>
            </w:r>
          </w:p>
          <w:p w14:paraId="66106844" w14:textId="77777777" w:rsidR="00CE6646" w:rsidRPr="0083284E" w:rsidRDefault="00CE6646" w:rsidP="00CE6646">
            <w:pPr>
              <w:pStyle w:val="Listenabsatz"/>
              <w:numPr>
                <w:ilvl w:val="0"/>
                <w:numId w:val="58"/>
              </w:numPr>
              <w:tabs>
                <w:tab w:val="left" w:pos="357"/>
              </w:tabs>
              <w:autoSpaceDE w:val="0"/>
              <w:autoSpaceDN w:val="0"/>
              <w:adjustRightInd w:val="0"/>
              <w:rPr>
                <w:rFonts w:cs="Deutsche Bank Text"/>
                <w:szCs w:val="18"/>
              </w:rPr>
            </w:pPr>
            <w:r w:rsidRPr="0083284E">
              <w:rPr>
                <w:rFonts w:cs="Deutsche Bank Text"/>
                <w:szCs w:val="18"/>
              </w:rPr>
              <w:t xml:space="preserve">a romantic or sexual relationship of an </w:t>
            </w:r>
            <w:proofErr w:type="gramStart"/>
            <w:r w:rsidRPr="0083284E">
              <w:rPr>
                <w:rFonts w:cs="Deutsche Bank Text"/>
                <w:szCs w:val="18"/>
              </w:rPr>
              <w:t>Employee;</w:t>
            </w:r>
            <w:proofErr w:type="gramEnd"/>
          </w:p>
          <w:p w14:paraId="1E7CDFE2" w14:textId="77777777" w:rsidR="00CE6646" w:rsidRPr="0083284E" w:rsidRDefault="00CE6646" w:rsidP="00CE6646">
            <w:pPr>
              <w:pStyle w:val="Listenabsatz"/>
              <w:numPr>
                <w:ilvl w:val="0"/>
                <w:numId w:val="58"/>
              </w:numPr>
              <w:tabs>
                <w:tab w:val="left" w:pos="357"/>
              </w:tabs>
              <w:autoSpaceDE w:val="0"/>
              <w:autoSpaceDN w:val="0"/>
              <w:adjustRightInd w:val="0"/>
              <w:rPr>
                <w:rFonts w:cs="Deutsche Bank Text"/>
                <w:szCs w:val="18"/>
              </w:rPr>
            </w:pPr>
            <w:r w:rsidRPr="0083284E">
              <w:rPr>
                <w:rFonts w:cs="Deutsche Bank Text"/>
                <w:szCs w:val="18"/>
              </w:rPr>
              <w:t xml:space="preserve">a personal business, commercial or financial relationship of an </w:t>
            </w:r>
            <w:proofErr w:type="gramStart"/>
            <w:r w:rsidRPr="0083284E">
              <w:rPr>
                <w:rFonts w:cs="Deutsche Bank Text"/>
                <w:szCs w:val="18"/>
              </w:rPr>
              <w:t>Employee;</w:t>
            </w:r>
            <w:proofErr w:type="gramEnd"/>
          </w:p>
          <w:p w14:paraId="5F8E2680" w14:textId="77777777" w:rsidR="00CE6646" w:rsidRDefault="00CE6646" w:rsidP="00CE6646">
            <w:pPr>
              <w:pStyle w:val="Listenabsatz"/>
              <w:numPr>
                <w:ilvl w:val="0"/>
                <w:numId w:val="58"/>
              </w:numPr>
              <w:tabs>
                <w:tab w:val="left" w:pos="357"/>
              </w:tabs>
              <w:autoSpaceDE w:val="0"/>
              <w:autoSpaceDN w:val="0"/>
              <w:adjustRightInd w:val="0"/>
              <w:rPr>
                <w:rFonts w:cs="Deutsche Bank Text"/>
                <w:szCs w:val="18"/>
              </w:rPr>
            </w:pPr>
            <w:r w:rsidRPr="0083284E">
              <w:rPr>
                <w:rFonts w:cs="Deutsche Bank Text"/>
                <w:szCs w:val="18"/>
              </w:rPr>
              <w:t>a cohabitee of an Employee; or</w:t>
            </w:r>
          </w:p>
          <w:p w14:paraId="22F2945D" w14:textId="5606D7B5" w:rsidR="00BE4468" w:rsidRPr="00CE6646" w:rsidRDefault="00CE6646" w:rsidP="008357C7">
            <w:pPr>
              <w:pStyle w:val="Listenabsatz"/>
              <w:numPr>
                <w:ilvl w:val="0"/>
                <w:numId w:val="58"/>
              </w:numPr>
              <w:tabs>
                <w:tab w:val="left" w:pos="357"/>
              </w:tabs>
              <w:autoSpaceDE w:val="0"/>
              <w:autoSpaceDN w:val="0"/>
              <w:adjustRightInd w:val="0"/>
            </w:pPr>
            <w:r w:rsidRPr="0083284E">
              <w:t>a financial dependent of an Employee</w:t>
            </w:r>
          </w:p>
        </w:tc>
      </w:tr>
      <w:tr w:rsidR="00BE4468" w:rsidRPr="009D618C" w14:paraId="58E8D75B" w14:textId="77777777" w:rsidTr="00C73784">
        <w:trPr>
          <w:cantSplit w:val="0"/>
        </w:trPr>
        <w:tc>
          <w:tcPr>
            <w:tcW w:w="2268" w:type="dxa"/>
          </w:tcPr>
          <w:p w14:paraId="6B3F044F" w14:textId="5EF8063E" w:rsidR="00BE4468" w:rsidRDefault="00BE4468" w:rsidP="00BE4468">
            <w:pPr>
              <w:pStyle w:val="Glossary"/>
            </w:pPr>
            <w:r>
              <w:t>COI Framework</w:t>
            </w:r>
          </w:p>
        </w:tc>
        <w:tc>
          <w:tcPr>
            <w:tcW w:w="6803" w:type="dxa"/>
          </w:tcPr>
          <w:p w14:paraId="6B95479A" w14:textId="56526F07" w:rsidR="00BE4468" w:rsidRPr="009D618C" w:rsidRDefault="00CE6646" w:rsidP="00BE4468">
            <w:pPr>
              <w:pStyle w:val="Glossary"/>
            </w:pPr>
            <w:r>
              <w:t>T</w:t>
            </w:r>
            <w:r w:rsidRPr="0083284E">
              <w:t xml:space="preserve">he Bank’s Conflicts of Interest framework for the oversight and governance of Conflicts of Interest as set out in the </w:t>
            </w:r>
            <w:r w:rsidRPr="008357C7">
              <w:t>Conflicts</w:t>
            </w:r>
            <w:r>
              <w:t xml:space="preserve"> of Interest </w:t>
            </w:r>
            <w:r w:rsidR="00307E69">
              <w:t>Manual</w:t>
            </w:r>
            <w:r w:rsidRPr="008357C7">
              <w:rPr>
                <w:color w:val="FF0000"/>
              </w:rPr>
              <w:t xml:space="preserve"> </w:t>
            </w:r>
          </w:p>
        </w:tc>
      </w:tr>
      <w:tr w:rsidR="00BE4468" w:rsidRPr="009D618C" w14:paraId="05030A48" w14:textId="77777777" w:rsidTr="00C73784">
        <w:trPr>
          <w:cantSplit w:val="0"/>
        </w:trPr>
        <w:tc>
          <w:tcPr>
            <w:tcW w:w="2268" w:type="dxa"/>
          </w:tcPr>
          <w:p w14:paraId="2D5F6165" w14:textId="05A57F23" w:rsidR="00BE4468" w:rsidRDefault="00BE4468" w:rsidP="00BE4468">
            <w:pPr>
              <w:pStyle w:val="Glossary"/>
            </w:pPr>
            <w:r>
              <w:t>COI Register</w:t>
            </w:r>
          </w:p>
        </w:tc>
        <w:tc>
          <w:tcPr>
            <w:tcW w:w="6803" w:type="dxa"/>
          </w:tcPr>
          <w:p w14:paraId="3F283842" w14:textId="724E9DE7" w:rsidR="00BE4468" w:rsidRPr="009D618C" w:rsidRDefault="00FB15E7" w:rsidP="00BE4468">
            <w:pPr>
              <w:pStyle w:val="Glossary"/>
            </w:pPr>
            <w:r>
              <w:t>T</w:t>
            </w:r>
            <w:r w:rsidRPr="00FF6526">
              <w:t xml:space="preserve">he register or log of the different types of conflicts which arise or may arise within each Unit more fully described in </w:t>
            </w:r>
            <w:r>
              <w:t xml:space="preserve">the </w:t>
            </w:r>
            <w:r w:rsidRPr="00CB792D">
              <w:t>Conflicts</w:t>
            </w:r>
            <w:r>
              <w:t xml:space="preserve"> of Interest </w:t>
            </w:r>
            <w:r w:rsidR="00307E69">
              <w:t>Manual</w:t>
            </w:r>
            <w:r>
              <w:t xml:space="preserve"> </w:t>
            </w:r>
          </w:p>
        </w:tc>
      </w:tr>
      <w:tr w:rsidR="00BE4468" w:rsidRPr="009D618C" w14:paraId="4DDA6B2D" w14:textId="77777777" w:rsidTr="00C73784">
        <w:trPr>
          <w:cantSplit w:val="0"/>
        </w:trPr>
        <w:tc>
          <w:tcPr>
            <w:tcW w:w="2268" w:type="dxa"/>
          </w:tcPr>
          <w:p w14:paraId="324DAE24" w14:textId="7B8F0B24" w:rsidR="00BE4468" w:rsidRDefault="00BE4468" w:rsidP="00BE4468">
            <w:pPr>
              <w:pStyle w:val="Glossary"/>
            </w:pPr>
            <w:r>
              <w:t>Conflict Clearing Register</w:t>
            </w:r>
          </w:p>
        </w:tc>
        <w:tc>
          <w:tcPr>
            <w:tcW w:w="6803" w:type="dxa"/>
          </w:tcPr>
          <w:p w14:paraId="691E6375" w14:textId="47B1E28A" w:rsidR="00BE4468" w:rsidRPr="009D618C" w:rsidRDefault="00FB15E7" w:rsidP="00BE4468">
            <w:pPr>
              <w:pStyle w:val="Glossary"/>
            </w:pPr>
            <w:r>
              <w:rPr>
                <w:rStyle w:val="IntensiveHervorhebung"/>
                <w:i w:val="0"/>
                <w:iCs w:val="0"/>
                <w:color w:val="auto"/>
              </w:rPr>
              <w:t>T</w:t>
            </w:r>
            <w:r w:rsidRPr="00B668A6">
              <w:rPr>
                <w:rStyle w:val="IntensiveHervorhebung"/>
                <w:i w:val="0"/>
                <w:iCs w:val="0"/>
                <w:color w:val="auto"/>
              </w:rPr>
              <w:t xml:space="preserve">he log of transactions for conflict clearing maintained in the systems operated by the Conflict Clearing Team and the </w:t>
            </w:r>
            <w:r>
              <w:rPr>
                <w:rStyle w:val="IntensiveHervorhebung"/>
                <w:i w:val="0"/>
                <w:iCs w:val="0"/>
                <w:color w:val="auto"/>
              </w:rPr>
              <w:t>Global Conflicts Office</w:t>
            </w:r>
            <w:r w:rsidRPr="00B668A6">
              <w:rPr>
                <w:rStyle w:val="IntensiveHervorhebung"/>
                <w:i w:val="0"/>
                <w:iCs w:val="0"/>
                <w:color w:val="auto"/>
              </w:rPr>
              <w:t xml:space="preserve"> Control Room</w:t>
            </w:r>
            <w:r>
              <w:rPr>
                <w:rStyle w:val="IntensiveHervorhebung"/>
                <w:i w:val="0"/>
                <w:iCs w:val="0"/>
                <w:color w:val="auto"/>
              </w:rPr>
              <w:t>.</w:t>
            </w:r>
          </w:p>
        </w:tc>
      </w:tr>
      <w:tr w:rsidR="00FB15E7" w:rsidRPr="009D618C" w14:paraId="30858778" w14:textId="77777777" w:rsidTr="00C73784">
        <w:trPr>
          <w:cantSplit w:val="0"/>
        </w:trPr>
        <w:tc>
          <w:tcPr>
            <w:tcW w:w="2268" w:type="dxa"/>
          </w:tcPr>
          <w:p w14:paraId="400BCC4A" w14:textId="7A83B939" w:rsidR="00FB15E7" w:rsidRDefault="00FB15E7" w:rsidP="00FB15E7">
            <w:pPr>
              <w:pStyle w:val="Glossary"/>
            </w:pPr>
            <w:r w:rsidRPr="00870F1C">
              <w:t>Conflict Clearing Team</w:t>
            </w:r>
          </w:p>
        </w:tc>
        <w:tc>
          <w:tcPr>
            <w:tcW w:w="6803" w:type="dxa"/>
          </w:tcPr>
          <w:p w14:paraId="1FA8F9D8" w14:textId="75946EB3" w:rsidR="00FB15E7" w:rsidRDefault="00FB15E7" w:rsidP="00FB15E7">
            <w:pPr>
              <w:pStyle w:val="Glossary"/>
            </w:pPr>
            <w:r>
              <w:t>T</w:t>
            </w:r>
            <w:r w:rsidRPr="00FF6526">
              <w:t xml:space="preserve">he conflict clearing function for transactional conflict clearing described in </w:t>
            </w:r>
            <w:r>
              <w:t xml:space="preserve">the </w:t>
            </w:r>
            <w:r w:rsidRPr="00CB792D">
              <w:t>Conflicts</w:t>
            </w:r>
            <w:r>
              <w:t xml:space="preserve"> of Interest </w:t>
            </w:r>
            <w:r w:rsidR="00307E69">
              <w:t>Manual</w:t>
            </w:r>
            <w:r w:rsidRPr="00CB792D">
              <w:rPr>
                <w:color w:val="FF0000"/>
              </w:rPr>
              <w:t xml:space="preserve"> </w:t>
            </w:r>
          </w:p>
        </w:tc>
      </w:tr>
      <w:tr w:rsidR="00FB15E7" w:rsidRPr="009D618C" w14:paraId="5693E74F" w14:textId="77777777" w:rsidTr="00C73784">
        <w:trPr>
          <w:cantSplit w:val="0"/>
        </w:trPr>
        <w:tc>
          <w:tcPr>
            <w:tcW w:w="2268" w:type="dxa"/>
          </w:tcPr>
          <w:p w14:paraId="34DCDB45" w14:textId="40F35C49" w:rsidR="00FB15E7" w:rsidRPr="009D618C" w:rsidRDefault="00FB15E7" w:rsidP="00FB15E7">
            <w:pPr>
              <w:pStyle w:val="Glossary"/>
            </w:pPr>
            <w:r>
              <w:t>Conflict of Interest</w:t>
            </w:r>
          </w:p>
        </w:tc>
        <w:tc>
          <w:tcPr>
            <w:tcW w:w="6803" w:type="dxa"/>
          </w:tcPr>
          <w:p w14:paraId="17D4B797" w14:textId="64842975" w:rsidR="00FB15E7" w:rsidRPr="009D618C" w:rsidRDefault="00FB15E7" w:rsidP="00FB15E7">
            <w:pPr>
              <w:pStyle w:val="Glossary"/>
            </w:pPr>
            <w:r>
              <w:t>A</w:t>
            </w:r>
            <w:r w:rsidRPr="0083284E">
              <w:t xml:space="preserve"> situation where one or more persons or entities have </w:t>
            </w:r>
            <w:proofErr w:type="gramStart"/>
            <w:r w:rsidRPr="0083284E">
              <w:t>competing</w:t>
            </w:r>
            <w:proofErr w:type="gramEnd"/>
            <w:r w:rsidRPr="0083284E">
              <w:t xml:space="preserve"> interests and the serving of one interest may involve detriment to another.</w:t>
            </w:r>
          </w:p>
        </w:tc>
      </w:tr>
      <w:tr w:rsidR="00FB15E7" w:rsidRPr="009D618C" w14:paraId="24457AAE" w14:textId="77777777" w:rsidTr="00C73784">
        <w:trPr>
          <w:cantSplit w:val="0"/>
        </w:trPr>
        <w:tc>
          <w:tcPr>
            <w:tcW w:w="2268" w:type="dxa"/>
          </w:tcPr>
          <w:p w14:paraId="71241C98" w14:textId="18026708" w:rsidR="00FB15E7" w:rsidRDefault="00FB15E7" w:rsidP="00FB15E7">
            <w:pPr>
              <w:pStyle w:val="Glossary"/>
            </w:pPr>
            <w:r>
              <w:t>Conflicts of Interest Risk Type</w:t>
            </w:r>
          </w:p>
        </w:tc>
        <w:tc>
          <w:tcPr>
            <w:tcW w:w="6803" w:type="dxa"/>
          </w:tcPr>
          <w:p w14:paraId="1169D60D" w14:textId="29A4E34C" w:rsidR="00FB15E7" w:rsidRPr="009D618C" w:rsidRDefault="00FB15E7" w:rsidP="00FB15E7">
            <w:pPr>
              <w:pStyle w:val="Glossary"/>
            </w:pPr>
            <w:r w:rsidRPr="00FB15E7">
              <w:t xml:space="preserve">The </w:t>
            </w:r>
            <w:r>
              <w:t xml:space="preserve">level 3 </w:t>
            </w:r>
            <w:r w:rsidRPr="00FB15E7">
              <w:t>risk type set out in the Bank’s Group Risk Type Taxonomy</w:t>
            </w:r>
            <w:r w:rsidRPr="008357C7">
              <w:t xml:space="preserve"> </w:t>
            </w:r>
            <w:r w:rsidRPr="00FB15E7">
              <w:t>for which Compliance is ascribed as the 2nd Line of Defence risk type controller</w:t>
            </w:r>
          </w:p>
        </w:tc>
      </w:tr>
      <w:tr w:rsidR="00FB15E7" w:rsidRPr="009D618C" w14:paraId="67FDE91E" w14:textId="77777777" w:rsidTr="00C73784">
        <w:trPr>
          <w:cantSplit w:val="0"/>
        </w:trPr>
        <w:tc>
          <w:tcPr>
            <w:tcW w:w="2268" w:type="dxa"/>
          </w:tcPr>
          <w:p w14:paraId="4BDFE247" w14:textId="72701944" w:rsidR="00FB15E7" w:rsidRDefault="00FB15E7" w:rsidP="00FB15E7">
            <w:pPr>
              <w:pStyle w:val="Glossary"/>
            </w:pPr>
            <w:r>
              <w:t>Conflicts of Interest Taxonomy</w:t>
            </w:r>
          </w:p>
        </w:tc>
        <w:tc>
          <w:tcPr>
            <w:tcW w:w="6803" w:type="dxa"/>
          </w:tcPr>
          <w:p w14:paraId="66F88B1E" w14:textId="2B9D0D69" w:rsidR="00FB15E7" w:rsidRPr="009D618C" w:rsidRDefault="00FB15E7" w:rsidP="00FB15E7">
            <w:pPr>
              <w:pStyle w:val="Glossary"/>
            </w:pPr>
            <w:r>
              <w:t>A</w:t>
            </w:r>
            <w:r w:rsidRPr="0083284E">
              <w:t xml:space="preserve"> summary description, set out in the </w:t>
            </w:r>
            <w:r>
              <w:t xml:space="preserve">Conflicts of Interest </w:t>
            </w:r>
            <w:r w:rsidR="00A54D7E">
              <w:t>Manual</w:t>
            </w:r>
            <w:r w:rsidRPr="0083284E">
              <w:t>, of circumstances across the Bank which constitute or give rise to Conflicts of Interest including those which entail a material risk of damage to one or more Clients</w:t>
            </w:r>
          </w:p>
        </w:tc>
      </w:tr>
      <w:tr w:rsidR="00FB15E7" w:rsidRPr="009D618C" w14:paraId="54914B8E" w14:textId="77777777" w:rsidTr="00C73784">
        <w:trPr>
          <w:cantSplit w:val="0"/>
        </w:trPr>
        <w:tc>
          <w:tcPr>
            <w:tcW w:w="2268" w:type="dxa"/>
          </w:tcPr>
          <w:p w14:paraId="399B7E41" w14:textId="7B7F5FDF" w:rsidR="00FB15E7" w:rsidRDefault="00FB15E7" w:rsidP="00FB15E7">
            <w:pPr>
              <w:pStyle w:val="Glossary"/>
            </w:pPr>
            <w:r>
              <w:t>Corporate Divisions</w:t>
            </w:r>
          </w:p>
        </w:tc>
        <w:tc>
          <w:tcPr>
            <w:tcW w:w="6803" w:type="dxa"/>
          </w:tcPr>
          <w:p w14:paraId="1D4754EA" w14:textId="265CF0FE" w:rsidR="00FB15E7" w:rsidRPr="009D618C" w:rsidRDefault="00A54D7E" w:rsidP="00FB15E7">
            <w:pPr>
              <w:pStyle w:val="Glossary"/>
            </w:pPr>
            <w:r w:rsidRPr="004150F1">
              <w:t>Revenue generating Unit within DB Group based on the DB AG Business Allocation Plan.</w:t>
            </w:r>
          </w:p>
        </w:tc>
      </w:tr>
      <w:tr w:rsidR="00FB15E7" w:rsidRPr="009D618C" w14:paraId="446D22B3" w14:textId="77777777" w:rsidTr="00C73784">
        <w:trPr>
          <w:cantSplit w:val="0"/>
        </w:trPr>
        <w:tc>
          <w:tcPr>
            <w:tcW w:w="2268" w:type="dxa"/>
          </w:tcPr>
          <w:p w14:paraId="64D581EF" w14:textId="211BB818" w:rsidR="00FB15E7" w:rsidRDefault="00FB15E7" w:rsidP="00FB15E7">
            <w:pPr>
              <w:pStyle w:val="Glossary"/>
            </w:pPr>
            <w:r>
              <w:t>DB Group</w:t>
            </w:r>
          </w:p>
        </w:tc>
        <w:tc>
          <w:tcPr>
            <w:tcW w:w="6803" w:type="dxa"/>
          </w:tcPr>
          <w:p w14:paraId="6DE6A5A2" w14:textId="270317AC" w:rsidR="00FB15E7" w:rsidRPr="0083284E" w:rsidRDefault="00FB15E7" w:rsidP="00FB15E7">
            <w:pPr>
              <w:pStyle w:val="Glossary"/>
            </w:pPr>
            <w:r w:rsidRPr="0083284E">
              <w:t>D</w:t>
            </w:r>
            <w:r w:rsidR="00E55ED9">
              <w:t xml:space="preserve">eutsche </w:t>
            </w:r>
            <w:r w:rsidRPr="0083284E">
              <w:t>B</w:t>
            </w:r>
            <w:r w:rsidR="00E55ED9">
              <w:t>ank</w:t>
            </w:r>
            <w:r w:rsidRPr="0083284E">
              <w:t xml:space="preserve"> AG and legal entities in which D</w:t>
            </w:r>
            <w:r w:rsidR="00E55ED9">
              <w:t xml:space="preserve">eutsche </w:t>
            </w:r>
            <w:r w:rsidRPr="0083284E">
              <w:t>B</w:t>
            </w:r>
            <w:r w:rsidR="00E55ED9">
              <w:t>ank</w:t>
            </w:r>
            <w:r w:rsidRPr="0083284E">
              <w:t xml:space="preserve"> AG (directly or indirectly) holds an equity or voting </w:t>
            </w:r>
            <w:r w:rsidRPr="0083284E">
              <w:rPr>
                <w:bCs/>
              </w:rPr>
              <w:t>capital share of more than 50%</w:t>
            </w:r>
            <w:r w:rsidRPr="0083284E">
              <w:t xml:space="preserve"> or controls them legally otherwise</w:t>
            </w:r>
            <w:r>
              <w:t>.</w:t>
            </w:r>
          </w:p>
        </w:tc>
      </w:tr>
      <w:tr w:rsidR="00FB15E7" w:rsidRPr="009D618C" w14:paraId="7F7DF125" w14:textId="77777777" w:rsidTr="00C73784">
        <w:trPr>
          <w:cantSplit w:val="0"/>
        </w:trPr>
        <w:tc>
          <w:tcPr>
            <w:tcW w:w="2268" w:type="dxa"/>
          </w:tcPr>
          <w:p w14:paraId="031D982C" w14:textId="1B0B5DF8" w:rsidR="00FB15E7" w:rsidRPr="009D618C" w:rsidRDefault="00FB15E7" w:rsidP="00FB15E7">
            <w:pPr>
              <w:pStyle w:val="Glossary"/>
            </w:pPr>
            <w:r>
              <w:lastRenderedPageBreak/>
              <w:t>DB Group Entity</w:t>
            </w:r>
          </w:p>
        </w:tc>
        <w:tc>
          <w:tcPr>
            <w:tcW w:w="6803" w:type="dxa"/>
          </w:tcPr>
          <w:p w14:paraId="216374A0" w14:textId="6E1BCD06" w:rsidR="00FB15E7" w:rsidRPr="009D618C" w:rsidRDefault="00FB15E7" w:rsidP="00FB15E7">
            <w:pPr>
              <w:pStyle w:val="Glossary"/>
            </w:pPr>
            <w:r w:rsidRPr="0083284E">
              <w:t>Companies established pursuant to local laws and regulations of which D</w:t>
            </w:r>
            <w:r w:rsidR="00E55ED9">
              <w:t xml:space="preserve">eutsche </w:t>
            </w:r>
            <w:r w:rsidRPr="0083284E">
              <w:t>B</w:t>
            </w:r>
            <w:r w:rsidR="00E55ED9">
              <w:t>ank</w:t>
            </w:r>
            <w:r w:rsidRPr="0083284E">
              <w:t xml:space="preserve"> AG is the direct or indirect parent company with majority participation. This will include any branches and representative offices of these companies</w:t>
            </w:r>
            <w:r>
              <w:t xml:space="preserve">. </w:t>
            </w:r>
          </w:p>
        </w:tc>
      </w:tr>
      <w:tr w:rsidR="00FB15E7" w:rsidRPr="009D618C" w14:paraId="44474526" w14:textId="77777777" w:rsidTr="00C73784">
        <w:trPr>
          <w:cantSplit w:val="0"/>
        </w:trPr>
        <w:tc>
          <w:tcPr>
            <w:tcW w:w="2268" w:type="dxa"/>
          </w:tcPr>
          <w:p w14:paraId="1D99132D" w14:textId="75305438" w:rsidR="00FB15E7" w:rsidRPr="009D618C" w:rsidRDefault="00FB15E7" w:rsidP="00FB15E7">
            <w:pPr>
              <w:pStyle w:val="Glossary"/>
            </w:pPr>
            <w:r>
              <w:t>Employee</w:t>
            </w:r>
          </w:p>
        </w:tc>
        <w:tc>
          <w:tcPr>
            <w:tcW w:w="6803" w:type="dxa"/>
          </w:tcPr>
          <w:p w14:paraId="14816D35" w14:textId="2E47BAE9" w:rsidR="00FB15E7" w:rsidRPr="009D618C" w:rsidRDefault="00FB15E7" w:rsidP="00FB15E7">
            <w:pPr>
              <w:pStyle w:val="Glossary"/>
            </w:pPr>
            <w:r w:rsidRPr="0083284E">
              <w:t>Any individual with an employment contract directly with the Bank</w:t>
            </w:r>
          </w:p>
        </w:tc>
      </w:tr>
      <w:tr w:rsidR="00FB15E7" w:rsidRPr="009D618C" w14:paraId="0B9C3183" w14:textId="77777777" w:rsidTr="00C73784">
        <w:trPr>
          <w:cantSplit w:val="0"/>
        </w:trPr>
        <w:tc>
          <w:tcPr>
            <w:tcW w:w="2268" w:type="dxa"/>
          </w:tcPr>
          <w:p w14:paraId="68C01157" w14:textId="78CA23D5" w:rsidR="00FB15E7" w:rsidRDefault="00FB15E7" w:rsidP="00FB15E7">
            <w:pPr>
              <w:pStyle w:val="Glossary"/>
            </w:pPr>
            <w:r>
              <w:t>Employee Trading</w:t>
            </w:r>
          </w:p>
        </w:tc>
        <w:tc>
          <w:tcPr>
            <w:tcW w:w="6803" w:type="dxa"/>
          </w:tcPr>
          <w:p w14:paraId="2B6638C2" w14:textId="0BDBBC6F" w:rsidR="00FB15E7" w:rsidRPr="009D618C" w:rsidRDefault="00FB15E7" w:rsidP="00FB15E7">
            <w:pPr>
              <w:pStyle w:val="Glossary"/>
            </w:pPr>
            <w:r>
              <w:t>P</w:t>
            </w:r>
            <w:r w:rsidRPr="0083284E">
              <w:t>ersonal trading activities of Employees</w:t>
            </w:r>
          </w:p>
        </w:tc>
      </w:tr>
      <w:tr w:rsidR="00FB15E7" w:rsidRPr="009D618C" w14:paraId="2315C17A" w14:textId="77777777" w:rsidTr="00C73784">
        <w:trPr>
          <w:cantSplit w:val="0"/>
        </w:trPr>
        <w:tc>
          <w:tcPr>
            <w:tcW w:w="2268" w:type="dxa"/>
          </w:tcPr>
          <w:p w14:paraId="3866432E" w14:textId="50E6A913" w:rsidR="00FB15E7" w:rsidRDefault="00FB15E7" w:rsidP="00FB15E7">
            <w:pPr>
              <w:pStyle w:val="Glossary"/>
            </w:pPr>
            <w:r>
              <w:t>Episodic Conflicts</w:t>
            </w:r>
          </w:p>
        </w:tc>
        <w:tc>
          <w:tcPr>
            <w:tcW w:w="6803" w:type="dxa"/>
          </w:tcPr>
          <w:p w14:paraId="462C0DAF" w14:textId="3DC088C6" w:rsidR="00FB15E7" w:rsidRPr="009D618C" w:rsidRDefault="00FB15E7" w:rsidP="00FB15E7">
            <w:pPr>
              <w:pStyle w:val="Glossary"/>
            </w:pPr>
            <w:r>
              <w:t>A</w:t>
            </w:r>
            <w:r w:rsidRPr="002F4828">
              <w:t xml:space="preserve"> Conflict of Interest that arises </w:t>
            </w:r>
            <w:proofErr w:type="gramStart"/>
            <w:r w:rsidRPr="002F4828">
              <w:t>as a result of</w:t>
            </w:r>
            <w:proofErr w:type="gramEnd"/>
            <w:r w:rsidRPr="002F4828">
              <w:t xml:space="preserve"> an event or change in circumstance, either during the execution of a transaction or after the closing of a transaction, </w:t>
            </w:r>
            <w:proofErr w:type="gramStart"/>
            <w:r w:rsidRPr="002F4828">
              <w:t>in particular where</w:t>
            </w:r>
            <w:proofErr w:type="gramEnd"/>
            <w:r w:rsidRPr="002F4828">
              <w:t xml:space="preserve"> the Bank has ongoing roles and responsibilities in connection with or related to the transaction or retains an economic interest in the transaction. </w:t>
            </w:r>
          </w:p>
        </w:tc>
      </w:tr>
      <w:tr w:rsidR="00FB15E7" w:rsidRPr="009D618C" w14:paraId="3F6F8C54" w14:textId="77777777" w:rsidTr="00C73784">
        <w:trPr>
          <w:cantSplit w:val="0"/>
        </w:trPr>
        <w:tc>
          <w:tcPr>
            <w:tcW w:w="2268" w:type="dxa"/>
          </w:tcPr>
          <w:p w14:paraId="7D3493CC" w14:textId="61D5C30B" w:rsidR="00FB15E7" w:rsidRPr="009D618C" w:rsidRDefault="00FB15E7" w:rsidP="00FB15E7">
            <w:pPr>
              <w:pStyle w:val="Glossary"/>
            </w:pPr>
            <w:r>
              <w:t>Family Member</w:t>
            </w:r>
          </w:p>
        </w:tc>
        <w:tc>
          <w:tcPr>
            <w:tcW w:w="6803" w:type="dxa"/>
          </w:tcPr>
          <w:p w14:paraId="651706DF" w14:textId="4731D0EE" w:rsidR="00FB15E7" w:rsidRPr="008357C7" w:rsidRDefault="00FB15E7" w:rsidP="00FB15E7">
            <w:pPr>
              <w:pStyle w:val="Glossary"/>
              <w:rPr>
                <w:b/>
                <w:bCs/>
              </w:rPr>
            </w:pPr>
            <w:r>
              <w:t>I</w:t>
            </w:r>
            <w:r w:rsidRPr="0083284E">
              <w:t>n relation to an Employee, a spouse, civil partner, domestic partner, children or stepchildren, parent or parent-in-law, sibling or sibling-in-law, grandparent, aunt, uncle, nephew, and niece</w:t>
            </w:r>
          </w:p>
        </w:tc>
      </w:tr>
      <w:tr w:rsidR="00FB15E7" w:rsidRPr="009D618C" w14:paraId="2CE9D1C6" w14:textId="77777777" w:rsidTr="00C73784">
        <w:trPr>
          <w:cantSplit w:val="0"/>
        </w:trPr>
        <w:tc>
          <w:tcPr>
            <w:tcW w:w="2268" w:type="dxa"/>
          </w:tcPr>
          <w:p w14:paraId="38D111A5" w14:textId="6B8FA9D4" w:rsidR="00FB15E7" w:rsidRDefault="00FB15E7" w:rsidP="00FB15E7">
            <w:pPr>
              <w:pStyle w:val="Glossary"/>
            </w:pPr>
            <w:r>
              <w:t>Group Risk Type Taxonomy</w:t>
            </w:r>
          </w:p>
        </w:tc>
        <w:tc>
          <w:tcPr>
            <w:tcW w:w="6803" w:type="dxa"/>
          </w:tcPr>
          <w:p w14:paraId="479EA9ED" w14:textId="01730E20" w:rsidR="00FB15E7" w:rsidRDefault="00FB15E7" w:rsidP="00FB15E7">
            <w:pPr>
              <w:pStyle w:val="Glossary"/>
            </w:pPr>
            <w:r w:rsidRPr="00D179C5">
              <w:rPr>
                <w:rStyle w:val="IntensiveHervorhebung"/>
                <w:i w:val="0"/>
                <w:iCs w:val="0"/>
                <w:color w:val="auto"/>
              </w:rPr>
              <w:t>The taxonomy of risk event types to which DB Group is intrinsically exposed in the pursuit of its business goals and objectives</w:t>
            </w:r>
            <w:r>
              <w:rPr>
                <w:rStyle w:val="IntensiveHervorhebung"/>
                <w:i w:val="0"/>
                <w:iCs w:val="0"/>
                <w:color w:val="auto"/>
              </w:rPr>
              <w:t>.</w:t>
            </w:r>
          </w:p>
        </w:tc>
      </w:tr>
      <w:tr w:rsidR="00FB15E7" w:rsidRPr="009D618C" w14:paraId="3373C3A7" w14:textId="77777777" w:rsidTr="00C73784">
        <w:trPr>
          <w:cantSplit w:val="0"/>
        </w:trPr>
        <w:tc>
          <w:tcPr>
            <w:tcW w:w="2268" w:type="dxa"/>
          </w:tcPr>
          <w:p w14:paraId="234BB684" w14:textId="172E8E68" w:rsidR="00FB15E7" w:rsidRDefault="00FB15E7" w:rsidP="00FB15E7">
            <w:pPr>
              <w:pStyle w:val="Glossary"/>
            </w:pPr>
            <w:r>
              <w:t>Inducements</w:t>
            </w:r>
          </w:p>
        </w:tc>
        <w:tc>
          <w:tcPr>
            <w:tcW w:w="6803" w:type="dxa"/>
          </w:tcPr>
          <w:p w14:paraId="2AA5BDEC" w14:textId="2A9B37E4" w:rsidR="00FB15E7" w:rsidRPr="009D618C" w:rsidRDefault="00FB15E7" w:rsidP="00FB15E7">
            <w:pPr>
              <w:pStyle w:val="Glossary"/>
            </w:pPr>
            <w:r>
              <w:t>P</w:t>
            </w:r>
            <w:r w:rsidRPr="0083284E">
              <w:t xml:space="preserve">aying or receiving any fee, commission monetary or non-monetary benefit, or the receipt of </w:t>
            </w:r>
            <w:r w:rsidRPr="00CE6646">
              <w:t xml:space="preserve">Performance-based Commissions </w:t>
            </w:r>
            <w:r w:rsidRPr="0083284E">
              <w:t xml:space="preserve">in relation to the provision of investment service and/or ancillary service to a </w:t>
            </w:r>
            <w:proofErr w:type="gramStart"/>
            <w:r w:rsidRPr="0083284E">
              <w:t>Client</w:t>
            </w:r>
            <w:proofErr w:type="gramEnd"/>
            <w:r>
              <w:t>.</w:t>
            </w:r>
          </w:p>
        </w:tc>
      </w:tr>
      <w:tr w:rsidR="00FB15E7" w:rsidRPr="009D618C" w14:paraId="68045DDE" w14:textId="77777777" w:rsidTr="00C73784">
        <w:trPr>
          <w:cantSplit w:val="0"/>
        </w:trPr>
        <w:tc>
          <w:tcPr>
            <w:tcW w:w="2268" w:type="dxa"/>
          </w:tcPr>
          <w:p w14:paraId="25E3E3D2" w14:textId="666C5335" w:rsidR="00FB15E7" w:rsidRPr="009D618C" w:rsidRDefault="00FB15E7" w:rsidP="00FB15E7">
            <w:pPr>
              <w:pStyle w:val="Glossary"/>
            </w:pPr>
            <w:r>
              <w:t>Management Board</w:t>
            </w:r>
          </w:p>
        </w:tc>
        <w:tc>
          <w:tcPr>
            <w:tcW w:w="6803" w:type="dxa"/>
          </w:tcPr>
          <w:p w14:paraId="32A7BCD7" w14:textId="2A951C9A" w:rsidR="00FB15E7" w:rsidRPr="009D618C" w:rsidRDefault="00FB15E7" w:rsidP="00FB15E7">
            <w:pPr>
              <w:pStyle w:val="Glossary"/>
            </w:pPr>
            <w:r>
              <w:t>T</w:t>
            </w:r>
            <w:r w:rsidRPr="0083284E">
              <w:t>he management board of Deutsche Bank AG</w:t>
            </w:r>
          </w:p>
        </w:tc>
      </w:tr>
      <w:tr w:rsidR="00FB15E7" w:rsidRPr="009D618C" w14:paraId="0AD1D121" w14:textId="77777777" w:rsidTr="00C73784">
        <w:trPr>
          <w:cantSplit w:val="0"/>
        </w:trPr>
        <w:tc>
          <w:tcPr>
            <w:tcW w:w="2268" w:type="dxa"/>
          </w:tcPr>
          <w:p w14:paraId="0A91FEB8" w14:textId="3ED6B282" w:rsidR="00FB15E7" w:rsidRPr="009D618C" w:rsidRDefault="00FB15E7" w:rsidP="00FB15E7">
            <w:pPr>
              <w:pStyle w:val="Glossary"/>
            </w:pPr>
            <w:r>
              <w:t>MiFID Business</w:t>
            </w:r>
          </w:p>
        </w:tc>
        <w:tc>
          <w:tcPr>
            <w:tcW w:w="6803" w:type="dxa"/>
          </w:tcPr>
          <w:p w14:paraId="1DE58FFE" w14:textId="04A4091C" w:rsidR="00FB15E7" w:rsidRPr="009D618C" w:rsidRDefault="00FB15E7" w:rsidP="00FB15E7">
            <w:pPr>
              <w:pStyle w:val="Glossary"/>
            </w:pPr>
            <w:r>
              <w:t>T</w:t>
            </w:r>
            <w:r w:rsidRPr="0083284E">
              <w:t>he provision of the Investment and Ancillary Services detailed in Section A and B of Annex I of MiFID II (EU Markets in Financial Instruments Directive 2014/65/EU), where MiFID II applies, or, where the domestic laws of the United Kingdom and the rules of the UK regulatory authorities apply, in Part 3 and 3A of Schedule 2 to the Financial Services and Markets Act 2000 (Regulated Activities) Order 2001 or any successor provision of UK domestic law</w:t>
            </w:r>
          </w:p>
        </w:tc>
      </w:tr>
      <w:tr w:rsidR="00FB15E7" w:rsidRPr="009D618C" w14:paraId="4D12175D" w14:textId="77777777" w:rsidTr="00C73784">
        <w:trPr>
          <w:cantSplit w:val="0"/>
        </w:trPr>
        <w:tc>
          <w:tcPr>
            <w:tcW w:w="2268" w:type="dxa"/>
          </w:tcPr>
          <w:p w14:paraId="2B39E356" w14:textId="75C15990" w:rsidR="00FB15E7" w:rsidRPr="009D618C" w:rsidRDefault="00FB15E7" w:rsidP="00FB15E7">
            <w:pPr>
              <w:pStyle w:val="Glossary"/>
            </w:pPr>
            <w:r>
              <w:t>Outside Business Interests</w:t>
            </w:r>
          </w:p>
        </w:tc>
        <w:tc>
          <w:tcPr>
            <w:tcW w:w="6803" w:type="dxa"/>
          </w:tcPr>
          <w:p w14:paraId="66D323D2" w14:textId="769918E0" w:rsidR="00FB15E7" w:rsidRPr="009D618C" w:rsidRDefault="00FB15E7" w:rsidP="00FB15E7">
            <w:pPr>
              <w:pStyle w:val="Glossary"/>
            </w:pPr>
            <w:r>
              <w:t>A</w:t>
            </w:r>
            <w:r w:rsidRPr="0083284E">
              <w:t>ny interests or activities undertaken by Employees outside their role at the Bank which are disclosable to the Bank under the Bank’s policies and procedures including without limitation, external business interest, directorships, external employment and political office appointments</w:t>
            </w:r>
          </w:p>
        </w:tc>
      </w:tr>
      <w:tr w:rsidR="00FB15E7" w:rsidRPr="009D618C" w14:paraId="0AC4848F" w14:textId="77777777" w:rsidTr="00C73784">
        <w:trPr>
          <w:cantSplit w:val="0"/>
        </w:trPr>
        <w:tc>
          <w:tcPr>
            <w:tcW w:w="2268" w:type="dxa"/>
          </w:tcPr>
          <w:p w14:paraId="407A7180" w14:textId="30DDA74C" w:rsidR="00FB15E7" w:rsidRDefault="00FB15E7" w:rsidP="00FB15E7">
            <w:pPr>
              <w:pStyle w:val="Glossary"/>
            </w:pPr>
            <w:r w:rsidRPr="008357C7">
              <w:t>Performance-based Commissions</w:t>
            </w:r>
          </w:p>
        </w:tc>
        <w:tc>
          <w:tcPr>
            <w:tcW w:w="6803" w:type="dxa"/>
          </w:tcPr>
          <w:p w14:paraId="3461108B" w14:textId="0160BCA0" w:rsidR="00FB15E7" w:rsidRPr="009D618C" w:rsidRDefault="00FB15E7" w:rsidP="00FB15E7">
            <w:pPr>
              <w:pStyle w:val="Glossary"/>
            </w:pPr>
            <w:r>
              <w:t>A</w:t>
            </w:r>
            <w:r w:rsidRPr="00CE6646">
              <w:t>ny variable monetary and/or non-monetary benefit provided to the Bank which is linked to the Bank’s performance in relation to a particular matter or activity which may include commissions paid by reference to different variables including achievement of defined turnovers or sales targets. Such benefits qualify as performance-based even if they take effect in another assessment period.</w:t>
            </w:r>
          </w:p>
        </w:tc>
      </w:tr>
      <w:tr w:rsidR="00FB15E7" w:rsidRPr="009D618C" w14:paraId="737FB7C4" w14:textId="77777777" w:rsidTr="00C73784">
        <w:trPr>
          <w:cantSplit w:val="0"/>
        </w:trPr>
        <w:tc>
          <w:tcPr>
            <w:tcW w:w="2268" w:type="dxa"/>
          </w:tcPr>
          <w:p w14:paraId="4A173017" w14:textId="14EEE2E1" w:rsidR="00FB15E7" w:rsidRPr="009D618C" w:rsidRDefault="00FB15E7" w:rsidP="00FB15E7">
            <w:pPr>
              <w:pStyle w:val="Glossary"/>
            </w:pPr>
            <w:r>
              <w:t>Personal Conflict</w:t>
            </w:r>
          </w:p>
        </w:tc>
        <w:tc>
          <w:tcPr>
            <w:tcW w:w="6803" w:type="dxa"/>
          </w:tcPr>
          <w:p w14:paraId="769CAC02" w14:textId="6F463B12" w:rsidR="00FB15E7" w:rsidRPr="009D618C" w:rsidRDefault="00FB15E7" w:rsidP="00FB15E7">
            <w:pPr>
              <w:pStyle w:val="Glossary"/>
            </w:pPr>
            <w:r>
              <w:t xml:space="preserve">A personal relationship, including with a Family Member or Close Personal Relationship, that may give rise to a Conflict of Interest or the perception of a Conflict of Interest. See </w:t>
            </w:r>
            <w:r w:rsidRPr="000C16AA">
              <w:t xml:space="preserve">Personal Conflicts of Interest </w:t>
            </w:r>
            <w:proofErr w:type="spellStart"/>
            <w:r w:rsidRPr="000C16AA">
              <w:t>Sharepoint</w:t>
            </w:r>
            <w:proofErr w:type="spellEnd"/>
          </w:p>
        </w:tc>
      </w:tr>
      <w:tr w:rsidR="00FB15E7" w:rsidRPr="009D618C" w14:paraId="41C72A08" w14:textId="77777777" w:rsidTr="00C73784">
        <w:trPr>
          <w:cantSplit w:val="0"/>
        </w:trPr>
        <w:tc>
          <w:tcPr>
            <w:tcW w:w="2268" w:type="dxa"/>
          </w:tcPr>
          <w:p w14:paraId="3D9CC81A" w14:textId="7122D86B" w:rsidR="00FB15E7" w:rsidRDefault="00FB15E7" w:rsidP="00FB15E7">
            <w:pPr>
              <w:pStyle w:val="Glossary"/>
            </w:pPr>
            <w:r w:rsidRPr="00925F86">
              <w:t>Related Entity</w:t>
            </w:r>
          </w:p>
        </w:tc>
        <w:tc>
          <w:tcPr>
            <w:tcW w:w="6803" w:type="dxa"/>
          </w:tcPr>
          <w:p w14:paraId="35FC3F0A" w14:textId="77777777" w:rsidR="00FB15E7" w:rsidRDefault="00FB15E7" w:rsidP="00FB15E7">
            <w:pPr>
              <w:pStyle w:val="Glossary"/>
            </w:pPr>
            <w:r>
              <w:t xml:space="preserve">A </w:t>
            </w:r>
            <w:r w:rsidRPr="0071337E">
              <w:t xml:space="preserve">non-DB legal entity where: </w:t>
            </w:r>
          </w:p>
          <w:p w14:paraId="2045EA62" w14:textId="77777777" w:rsidR="00FB15E7" w:rsidRDefault="00FB15E7" w:rsidP="00FB15E7">
            <w:pPr>
              <w:pStyle w:val="Glossary"/>
              <w:numPr>
                <w:ilvl w:val="0"/>
                <w:numId w:val="61"/>
              </w:numPr>
            </w:pPr>
            <w:r w:rsidRPr="0071337E">
              <w:t xml:space="preserve">The Board Member is a legal representative or a Board Member of the Management or Supervisory Board of that entity, or </w:t>
            </w:r>
          </w:p>
          <w:p w14:paraId="42B55693" w14:textId="7D28C621" w:rsidR="00FB15E7" w:rsidRDefault="00FB15E7" w:rsidP="008357C7">
            <w:pPr>
              <w:pStyle w:val="Glossary"/>
              <w:numPr>
                <w:ilvl w:val="0"/>
                <w:numId w:val="61"/>
              </w:numPr>
            </w:pPr>
            <w:r w:rsidRPr="0071337E">
              <w:t>The Board Member holds a participating interest of 10% or more, or is a general partner, of that entity</w:t>
            </w:r>
          </w:p>
        </w:tc>
      </w:tr>
      <w:tr w:rsidR="00FB15E7" w:rsidRPr="009D618C" w14:paraId="5012814C" w14:textId="77777777" w:rsidTr="00C73784">
        <w:trPr>
          <w:cantSplit w:val="0"/>
        </w:trPr>
        <w:tc>
          <w:tcPr>
            <w:tcW w:w="2268" w:type="dxa"/>
          </w:tcPr>
          <w:p w14:paraId="413D7DCD" w14:textId="22BD9C25" w:rsidR="00FB15E7" w:rsidRPr="009D618C" w:rsidRDefault="00FB15E7" w:rsidP="00FB15E7">
            <w:pPr>
              <w:pStyle w:val="Glossary"/>
            </w:pPr>
            <w:r>
              <w:t>Related Party</w:t>
            </w:r>
          </w:p>
        </w:tc>
        <w:tc>
          <w:tcPr>
            <w:tcW w:w="6803" w:type="dxa"/>
          </w:tcPr>
          <w:p w14:paraId="06D484A6" w14:textId="64EE94B2" w:rsidR="00FB15E7" w:rsidRDefault="00FB15E7" w:rsidP="00FB15E7">
            <w:pPr>
              <w:pStyle w:val="Glossary"/>
            </w:pPr>
            <w:r>
              <w:t>Any of the following, in respect of the DB Group Entity in question:</w:t>
            </w:r>
          </w:p>
          <w:p w14:paraId="21F19891" w14:textId="7B0A74C2" w:rsidR="00FB15E7" w:rsidRDefault="00FB15E7" w:rsidP="00FB15E7">
            <w:pPr>
              <w:pStyle w:val="Glossary"/>
              <w:numPr>
                <w:ilvl w:val="0"/>
                <w:numId w:val="60"/>
              </w:numPr>
            </w:pPr>
            <w:r>
              <w:t>a Board Member:</w:t>
            </w:r>
          </w:p>
          <w:p w14:paraId="4C76B85C" w14:textId="178EA8CB" w:rsidR="00FB15E7" w:rsidRPr="00117B4C" w:rsidRDefault="00FB15E7" w:rsidP="00FB15E7">
            <w:pPr>
              <w:pStyle w:val="Glossary"/>
              <w:numPr>
                <w:ilvl w:val="0"/>
                <w:numId w:val="60"/>
              </w:numPr>
            </w:pPr>
            <w:r w:rsidRPr="00117B4C">
              <w:t xml:space="preserve">a family member (spouse, partner, child or parent) of that Board </w:t>
            </w:r>
            <w:proofErr w:type="gramStart"/>
            <w:r w:rsidRPr="00117B4C">
              <w:t>Member</w:t>
            </w:r>
            <w:r>
              <w:t>;</w:t>
            </w:r>
            <w:proofErr w:type="gramEnd"/>
            <w:r w:rsidRPr="00117B4C">
              <w:t xml:space="preserve"> </w:t>
            </w:r>
          </w:p>
          <w:p w14:paraId="67575F44" w14:textId="3F2B7603" w:rsidR="00FB15E7" w:rsidRDefault="00FB15E7" w:rsidP="00FB15E7">
            <w:pPr>
              <w:pStyle w:val="Glossary"/>
              <w:numPr>
                <w:ilvl w:val="0"/>
                <w:numId w:val="60"/>
              </w:numPr>
            </w:pPr>
            <w:r w:rsidRPr="00117B4C">
              <w:lastRenderedPageBreak/>
              <w:t>a Related Entity</w:t>
            </w:r>
            <w:r>
              <w:t>; and</w:t>
            </w:r>
          </w:p>
          <w:p w14:paraId="6F0FE6B4" w14:textId="25E6D4E6" w:rsidR="00FB15E7" w:rsidRPr="009D618C" w:rsidRDefault="00FB15E7" w:rsidP="008357C7">
            <w:pPr>
              <w:pStyle w:val="Glossary"/>
              <w:numPr>
                <w:ilvl w:val="0"/>
                <w:numId w:val="60"/>
              </w:numPr>
            </w:pPr>
            <w:r>
              <w:t>a</w:t>
            </w:r>
            <w:r w:rsidRPr="0083284E">
              <w:t>ny</w:t>
            </w:r>
            <w:r w:rsidRPr="002828F9">
              <w:rPr>
                <w:lang w:val="en-US"/>
              </w:rPr>
              <w:t xml:space="preserve"> other person or entity who is considered a related party of the Bank under applicable corporate law of the </w:t>
            </w:r>
            <w:r>
              <w:t>DB Group Entity</w:t>
            </w:r>
            <w:r w:rsidRPr="002828F9">
              <w:rPr>
                <w:lang w:val="en-US"/>
              </w:rPr>
              <w:t>’s country of incorporation.</w:t>
            </w:r>
          </w:p>
        </w:tc>
      </w:tr>
      <w:tr w:rsidR="00FB15E7" w:rsidRPr="009D618C" w14:paraId="7F2000C3" w14:textId="77777777" w:rsidTr="00C73784">
        <w:trPr>
          <w:cantSplit w:val="0"/>
        </w:trPr>
        <w:tc>
          <w:tcPr>
            <w:tcW w:w="2268" w:type="dxa"/>
          </w:tcPr>
          <w:p w14:paraId="3B273DFF" w14:textId="05DCFC76" w:rsidR="00FB15E7" w:rsidRDefault="00FB15E7" w:rsidP="00FB15E7">
            <w:pPr>
              <w:pStyle w:val="Glossary"/>
            </w:pPr>
            <w:r>
              <w:lastRenderedPageBreak/>
              <w:t>Research</w:t>
            </w:r>
          </w:p>
        </w:tc>
        <w:tc>
          <w:tcPr>
            <w:tcW w:w="6803" w:type="dxa"/>
          </w:tcPr>
          <w:p w14:paraId="6B8241B7" w14:textId="3B369E04" w:rsidR="00FB15E7" w:rsidRPr="009D618C" w:rsidRDefault="00FB15E7" w:rsidP="00FB15E7">
            <w:pPr>
              <w:pStyle w:val="Glossary"/>
            </w:pPr>
            <w:r>
              <w:t>Department</w:t>
            </w:r>
            <w:r w:rsidRPr="0083284E">
              <w:t xml:space="preserve"> within DB Group as per Business Allocation Plan</w:t>
            </w:r>
          </w:p>
        </w:tc>
      </w:tr>
      <w:tr w:rsidR="00FB15E7" w:rsidRPr="009D618C" w14:paraId="23F096A3" w14:textId="77777777" w:rsidTr="00C73784">
        <w:trPr>
          <w:cantSplit w:val="0"/>
        </w:trPr>
        <w:tc>
          <w:tcPr>
            <w:tcW w:w="2268" w:type="dxa"/>
          </w:tcPr>
          <w:p w14:paraId="548F50AE" w14:textId="40799302" w:rsidR="00FB15E7" w:rsidRDefault="00FB15E7" w:rsidP="00FB15E7">
            <w:pPr>
              <w:pStyle w:val="Glossary"/>
            </w:pPr>
            <w:r>
              <w:t>Restricted List</w:t>
            </w:r>
          </w:p>
        </w:tc>
        <w:tc>
          <w:tcPr>
            <w:tcW w:w="6803" w:type="dxa"/>
          </w:tcPr>
          <w:p w14:paraId="19170A3D" w14:textId="15BB27A5" w:rsidR="00FB15E7" w:rsidRPr="009D618C" w:rsidRDefault="00FB15E7" w:rsidP="00FB15E7">
            <w:pPr>
              <w:pStyle w:val="Glossary"/>
            </w:pPr>
            <w:r w:rsidRPr="002828F9">
              <w:t>A list of issuers whose securities are subject to restrictions on sales, firm and employee trading, and/or research activities</w:t>
            </w:r>
          </w:p>
        </w:tc>
      </w:tr>
      <w:tr w:rsidR="00FB15E7" w:rsidRPr="009D618C" w14:paraId="5D2347E7" w14:textId="77777777" w:rsidTr="00C73784">
        <w:trPr>
          <w:cantSplit w:val="0"/>
        </w:trPr>
        <w:tc>
          <w:tcPr>
            <w:tcW w:w="2268" w:type="dxa"/>
          </w:tcPr>
          <w:p w14:paraId="5D63C0D6" w14:textId="2BD77DAD" w:rsidR="00FB15E7" w:rsidRDefault="00FB15E7" w:rsidP="00FB15E7">
            <w:pPr>
              <w:pStyle w:val="Glossary"/>
            </w:pPr>
            <w:r>
              <w:t>Risk</w:t>
            </w:r>
          </w:p>
        </w:tc>
        <w:tc>
          <w:tcPr>
            <w:tcW w:w="6803" w:type="dxa"/>
          </w:tcPr>
          <w:p w14:paraId="56E9A9C8" w14:textId="2D6DD228" w:rsidR="00FB15E7" w:rsidRPr="009D618C" w:rsidRDefault="00FB15E7" w:rsidP="00FB15E7">
            <w:pPr>
              <w:pStyle w:val="Glossary"/>
            </w:pPr>
            <w:r>
              <w:t>Department</w:t>
            </w:r>
            <w:r w:rsidRPr="0083284E">
              <w:t xml:space="preserve"> within DB Group as per Business Allocation Plan</w:t>
            </w:r>
          </w:p>
        </w:tc>
      </w:tr>
      <w:tr w:rsidR="00FB15E7" w:rsidRPr="009D618C" w14:paraId="14643C17" w14:textId="77777777" w:rsidTr="00C73784">
        <w:trPr>
          <w:cantSplit w:val="0"/>
        </w:trPr>
        <w:tc>
          <w:tcPr>
            <w:tcW w:w="2268" w:type="dxa"/>
          </w:tcPr>
          <w:p w14:paraId="70B339AD" w14:textId="1CEAD648" w:rsidR="00FB15E7" w:rsidRDefault="00FB15E7" w:rsidP="00FB15E7">
            <w:pPr>
              <w:pStyle w:val="Glossary"/>
            </w:pPr>
            <w:r>
              <w:t>Risk Type Controller</w:t>
            </w:r>
          </w:p>
        </w:tc>
        <w:tc>
          <w:tcPr>
            <w:tcW w:w="6803" w:type="dxa"/>
          </w:tcPr>
          <w:p w14:paraId="26B8A37A" w14:textId="5F3B39AE" w:rsidR="00FB15E7" w:rsidRPr="009D618C" w:rsidRDefault="00FB15E7" w:rsidP="00FB15E7">
            <w:pPr>
              <w:pStyle w:val="Glossary"/>
            </w:pPr>
            <w:r>
              <w:t>The second line of defence function responsible for setting the requirements, including the control standards, for a particular risk type in the Group Risk Type Taxonomy, to which the first line of defence, as risk owners, must adhere.</w:t>
            </w:r>
          </w:p>
        </w:tc>
      </w:tr>
      <w:tr w:rsidR="00FB15E7" w:rsidRPr="009D618C" w14:paraId="74C0BFA7" w14:textId="77777777" w:rsidTr="00C73784">
        <w:trPr>
          <w:cantSplit w:val="0"/>
        </w:trPr>
        <w:tc>
          <w:tcPr>
            <w:tcW w:w="2268" w:type="dxa"/>
          </w:tcPr>
          <w:p w14:paraId="32C4B2A7" w14:textId="16BA19A5" w:rsidR="00FB15E7" w:rsidRPr="009D618C" w:rsidRDefault="00FB15E7" w:rsidP="00FB15E7">
            <w:pPr>
              <w:pStyle w:val="Glossary"/>
            </w:pPr>
            <w:r>
              <w:t>Rules</w:t>
            </w:r>
          </w:p>
        </w:tc>
        <w:tc>
          <w:tcPr>
            <w:tcW w:w="6803" w:type="dxa"/>
          </w:tcPr>
          <w:p w14:paraId="3F066E42" w14:textId="43A09F5C" w:rsidR="00FB15E7" w:rsidRPr="009D618C" w:rsidRDefault="00FB15E7" w:rsidP="00FB15E7">
            <w:pPr>
              <w:pStyle w:val="Glossary"/>
            </w:pPr>
            <w:r>
              <w:t>A</w:t>
            </w:r>
            <w:r w:rsidRPr="0083284E">
              <w:t xml:space="preserve">ny </w:t>
            </w:r>
            <w:r w:rsidRPr="0083284E">
              <w:rPr>
                <w:lang w:eastAsia="en-GB"/>
              </w:rPr>
              <w:t>laws, regulations, rules, supervisory expectations, codes of conduct/ethics, and standards of good or best practice relating to Conflicts of Interest applicable to the Bank</w:t>
            </w:r>
          </w:p>
        </w:tc>
      </w:tr>
      <w:tr w:rsidR="00FB15E7" w:rsidRPr="009D618C" w14:paraId="13220010" w14:textId="77777777" w:rsidTr="00C73784">
        <w:trPr>
          <w:cantSplit w:val="0"/>
        </w:trPr>
        <w:tc>
          <w:tcPr>
            <w:tcW w:w="2268" w:type="dxa"/>
          </w:tcPr>
          <w:p w14:paraId="0BE51FA2" w14:textId="7126490F" w:rsidR="00FB15E7" w:rsidRPr="009D618C" w:rsidRDefault="00FB15E7" w:rsidP="00FB15E7">
            <w:pPr>
              <w:pStyle w:val="Glossary"/>
            </w:pPr>
            <w:r>
              <w:t>Senior Manager</w:t>
            </w:r>
          </w:p>
        </w:tc>
        <w:tc>
          <w:tcPr>
            <w:tcW w:w="6803" w:type="dxa"/>
          </w:tcPr>
          <w:p w14:paraId="6FFB34B5" w14:textId="5E281A00" w:rsidR="00FB15E7" w:rsidRPr="009D618C" w:rsidRDefault="00FB15E7" w:rsidP="00FB15E7">
            <w:pPr>
              <w:pStyle w:val="Glossary"/>
            </w:pPr>
            <w:r>
              <w:t>T</w:t>
            </w:r>
            <w:r w:rsidRPr="0083284E">
              <w:t>hose Employees who are responsible for, or have significant influence over, the direction and day-to-day management of Deutsche Bank AG (including all management positions in the two levels below the Management Board) and/or a DB Group Entity</w:t>
            </w:r>
          </w:p>
        </w:tc>
      </w:tr>
      <w:tr w:rsidR="00FB15E7" w:rsidRPr="009D618C" w14:paraId="3FD4B60C" w14:textId="77777777" w:rsidTr="00C73784">
        <w:trPr>
          <w:cantSplit w:val="0"/>
        </w:trPr>
        <w:tc>
          <w:tcPr>
            <w:tcW w:w="2268" w:type="dxa"/>
          </w:tcPr>
          <w:p w14:paraId="0A71ADBC" w14:textId="001CF605" w:rsidR="00FB15E7" w:rsidRPr="009D618C" w:rsidRDefault="00FB15E7" w:rsidP="00FB15E7">
            <w:pPr>
              <w:pStyle w:val="Glossary"/>
            </w:pPr>
            <w:r>
              <w:t>Supervisor</w:t>
            </w:r>
          </w:p>
        </w:tc>
        <w:tc>
          <w:tcPr>
            <w:tcW w:w="6803" w:type="dxa"/>
          </w:tcPr>
          <w:p w14:paraId="4622CB0E" w14:textId="20D3D089" w:rsidR="00FB15E7" w:rsidRPr="009D618C" w:rsidRDefault="00F06262" w:rsidP="00FB15E7">
            <w:pPr>
              <w:pStyle w:val="Glossary"/>
            </w:pPr>
            <w:r>
              <w:rPr>
                <w:rStyle w:val="IntensiveHervorhebung"/>
                <w:i w:val="0"/>
                <w:iCs w:val="0"/>
                <w:color w:val="auto"/>
              </w:rPr>
              <w:t>The Organisation Manager and/or Matrix Manager of an Employee in their oversight capacity.</w:t>
            </w:r>
            <w:r w:rsidR="00FB15E7" w:rsidRPr="009E01C1">
              <w:t> </w:t>
            </w:r>
          </w:p>
        </w:tc>
      </w:tr>
      <w:tr w:rsidR="00FB15E7" w:rsidRPr="009D618C" w14:paraId="5DD21170" w14:textId="77777777" w:rsidTr="00C73784">
        <w:trPr>
          <w:cantSplit w:val="0"/>
        </w:trPr>
        <w:tc>
          <w:tcPr>
            <w:tcW w:w="2268" w:type="dxa"/>
          </w:tcPr>
          <w:p w14:paraId="1EA6DB28" w14:textId="4E4E31A8" w:rsidR="00FB15E7" w:rsidRDefault="00FB15E7" w:rsidP="00FB15E7">
            <w:pPr>
              <w:pStyle w:val="Glossary"/>
            </w:pPr>
            <w:r>
              <w:t>Supervisory Board</w:t>
            </w:r>
          </w:p>
        </w:tc>
        <w:tc>
          <w:tcPr>
            <w:tcW w:w="6803" w:type="dxa"/>
          </w:tcPr>
          <w:p w14:paraId="023246C8" w14:textId="22409B76" w:rsidR="00FB15E7" w:rsidRPr="009D618C" w:rsidRDefault="00FB15E7" w:rsidP="00FB15E7">
            <w:pPr>
              <w:pStyle w:val="Glossary"/>
            </w:pPr>
            <w:r>
              <w:t>T</w:t>
            </w:r>
            <w:r w:rsidRPr="0083284E">
              <w:t>he supervisory board of Deutsche Bank AG</w:t>
            </w:r>
          </w:p>
        </w:tc>
      </w:tr>
      <w:tr w:rsidR="00FB15E7" w:rsidRPr="009D618C" w14:paraId="38121862" w14:textId="77777777" w:rsidTr="00C73784">
        <w:trPr>
          <w:cantSplit w:val="0"/>
        </w:trPr>
        <w:tc>
          <w:tcPr>
            <w:tcW w:w="2268" w:type="dxa"/>
          </w:tcPr>
          <w:p w14:paraId="5E58BBA8" w14:textId="4EB8F5D3" w:rsidR="00FB15E7" w:rsidRPr="009D618C" w:rsidRDefault="00FB15E7" w:rsidP="00FB15E7">
            <w:pPr>
              <w:pStyle w:val="Glossary"/>
            </w:pPr>
            <w:r>
              <w:t>Third Party Representative</w:t>
            </w:r>
          </w:p>
        </w:tc>
        <w:tc>
          <w:tcPr>
            <w:tcW w:w="6803" w:type="dxa"/>
          </w:tcPr>
          <w:p w14:paraId="68492394" w14:textId="25954082" w:rsidR="00FB15E7" w:rsidRPr="0083284E" w:rsidRDefault="00FB15E7" w:rsidP="00FB15E7">
            <w:pPr>
              <w:rPr>
                <w:rFonts w:cs="Deutsche Bank Text"/>
                <w:szCs w:val="18"/>
              </w:rPr>
            </w:pPr>
            <w:r>
              <w:rPr>
                <w:rFonts w:cs="Deutsche Bank Text"/>
                <w:szCs w:val="18"/>
              </w:rPr>
              <w:t>A</w:t>
            </w:r>
            <w:r w:rsidRPr="0083284E">
              <w:rPr>
                <w:rFonts w:cs="Deutsche Bank Text"/>
                <w:szCs w:val="18"/>
              </w:rPr>
              <w:t>ny of the following:</w:t>
            </w:r>
          </w:p>
          <w:p w14:paraId="58E6CCD7" w14:textId="77777777" w:rsidR="00FB15E7" w:rsidRPr="0083284E" w:rsidRDefault="00FB15E7" w:rsidP="00FB15E7">
            <w:pPr>
              <w:pStyle w:val="Listenabsatz"/>
              <w:numPr>
                <w:ilvl w:val="0"/>
                <w:numId w:val="59"/>
              </w:numPr>
              <w:tabs>
                <w:tab w:val="left" w:pos="357"/>
              </w:tabs>
              <w:contextualSpacing/>
              <w:rPr>
                <w:rFonts w:cs="Deutsche Bank Text"/>
                <w:szCs w:val="18"/>
              </w:rPr>
            </w:pPr>
            <w:r w:rsidRPr="0083284E">
              <w:rPr>
                <w:rFonts w:cs="Deutsche Bank Text"/>
                <w:szCs w:val="18"/>
              </w:rPr>
              <w:t xml:space="preserve">an appointed representative (or where applicable, Tied Agent) of the Bank who is involved in the Bank’s provision of services to a </w:t>
            </w:r>
            <w:proofErr w:type="gramStart"/>
            <w:r w:rsidRPr="0083284E">
              <w:rPr>
                <w:rFonts w:cs="Deutsche Bank Text"/>
                <w:szCs w:val="18"/>
              </w:rPr>
              <w:t>Client;</w:t>
            </w:r>
            <w:proofErr w:type="gramEnd"/>
          </w:p>
          <w:p w14:paraId="01646740" w14:textId="77777777" w:rsidR="00FB15E7" w:rsidRDefault="00FB15E7" w:rsidP="00FB15E7">
            <w:pPr>
              <w:pStyle w:val="Listenabsatz"/>
              <w:numPr>
                <w:ilvl w:val="0"/>
                <w:numId w:val="59"/>
              </w:numPr>
              <w:tabs>
                <w:tab w:val="left" w:pos="357"/>
              </w:tabs>
              <w:contextualSpacing/>
              <w:rPr>
                <w:rFonts w:cs="Deutsche Bank Text"/>
                <w:szCs w:val="18"/>
              </w:rPr>
            </w:pPr>
            <w:r w:rsidRPr="0083284E">
              <w:rPr>
                <w:rFonts w:cs="Deutsche Bank Text"/>
                <w:szCs w:val="18"/>
              </w:rPr>
              <w:t>an employee of an appointed representative (or where applicable, Tied Agent) of the Bank as well as any other natural person whose services are placed at the disposal and under the control of the Bank or a Tied Agent of the Bank and who is involved in the provision of services by the Bank to a Client; or</w:t>
            </w:r>
          </w:p>
          <w:p w14:paraId="0D23F8F2" w14:textId="07451C89" w:rsidR="00FB15E7" w:rsidRPr="00CE6646" w:rsidRDefault="00FB15E7" w:rsidP="008357C7">
            <w:pPr>
              <w:pStyle w:val="Listenabsatz"/>
              <w:numPr>
                <w:ilvl w:val="0"/>
                <w:numId w:val="59"/>
              </w:numPr>
              <w:tabs>
                <w:tab w:val="left" w:pos="357"/>
              </w:tabs>
              <w:contextualSpacing/>
            </w:pPr>
            <w:r w:rsidRPr="0083284E">
              <w:t>natural person who is involved in the provision of services to the Bank or its appointed representative (or where applicable Tied Agent) under an outsourcing arrangement;</w:t>
            </w:r>
          </w:p>
        </w:tc>
      </w:tr>
      <w:tr w:rsidR="00FB15E7" w:rsidRPr="009D618C" w14:paraId="2E140B67" w14:textId="77777777" w:rsidTr="00C73784">
        <w:trPr>
          <w:cantSplit w:val="0"/>
        </w:trPr>
        <w:tc>
          <w:tcPr>
            <w:tcW w:w="2268" w:type="dxa"/>
          </w:tcPr>
          <w:p w14:paraId="70FAF4A9" w14:textId="2503CF77" w:rsidR="00FB15E7" w:rsidRDefault="00FB15E7" w:rsidP="00FB15E7">
            <w:pPr>
              <w:pStyle w:val="Glossary"/>
            </w:pPr>
            <w:r>
              <w:t>Tied Agent</w:t>
            </w:r>
          </w:p>
        </w:tc>
        <w:tc>
          <w:tcPr>
            <w:tcW w:w="6803" w:type="dxa"/>
          </w:tcPr>
          <w:p w14:paraId="6688EDB4" w14:textId="1F37573A" w:rsidR="00FB15E7" w:rsidRPr="009D618C" w:rsidRDefault="00FB15E7" w:rsidP="00FB15E7">
            <w:pPr>
              <w:pStyle w:val="Glossary"/>
            </w:pPr>
            <w:r>
              <w:t>A</w:t>
            </w:r>
            <w:r w:rsidRPr="0083284E">
              <w:t xml:space="preserve"> legal or natural person who acts on behalf of the Bank under its full and unconditional responsibility, promotes investment services and/or ancillary services to clients or prospective clients, receives and transmits instructions or orders from the client in respect of investment services or financial instruments, places financial instruments and/or provides advice to clients or prospective clients in respect of those financial instruments or investment services</w:t>
            </w:r>
          </w:p>
        </w:tc>
      </w:tr>
      <w:tr w:rsidR="00FB15E7" w:rsidRPr="009D618C" w14:paraId="772009FC" w14:textId="77777777" w:rsidTr="00C73784">
        <w:trPr>
          <w:cantSplit w:val="0"/>
        </w:trPr>
        <w:tc>
          <w:tcPr>
            <w:tcW w:w="2268" w:type="dxa"/>
          </w:tcPr>
          <w:p w14:paraId="037633A1" w14:textId="0697A05D" w:rsidR="00FB15E7" w:rsidRPr="009D618C" w:rsidRDefault="00FB15E7" w:rsidP="00FB15E7">
            <w:pPr>
              <w:pStyle w:val="Glossary"/>
            </w:pPr>
            <w:r>
              <w:t>Unit</w:t>
            </w:r>
          </w:p>
        </w:tc>
        <w:tc>
          <w:tcPr>
            <w:tcW w:w="6803" w:type="dxa"/>
          </w:tcPr>
          <w:p w14:paraId="68A75977" w14:textId="3AD7C5ED" w:rsidR="00FB15E7" w:rsidRPr="009D618C" w:rsidRDefault="00FB15E7" w:rsidP="00FB15E7">
            <w:pPr>
              <w:pStyle w:val="Glossary"/>
            </w:pPr>
            <w:r w:rsidRPr="008357C7">
              <w:t>Refers to the organisational areas within DB Group, such as corporate divisions and infrastructure functions, as per the DB Business Allocation Plan.</w:t>
            </w:r>
          </w:p>
        </w:tc>
      </w:tr>
      <w:tr w:rsidR="00FB15E7" w:rsidRPr="009D618C" w14:paraId="6460FFD7" w14:textId="77777777" w:rsidTr="00C73784">
        <w:trPr>
          <w:cantSplit w:val="0"/>
        </w:trPr>
        <w:tc>
          <w:tcPr>
            <w:tcW w:w="2268" w:type="dxa"/>
          </w:tcPr>
          <w:p w14:paraId="232C0DFF" w14:textId="2EDE6349" w:rsidR="00FB15E7" w:rsidRPr="009D618C" w:rsidRDefault="00FB15E7" w:rsidP="00FB15E7">
            <w:pPr>
              <w:pStyle w:val="Glossary"/>
            </w:pPr>
            <w:r>
              <w:t>Vendor</w:t>
            </w:r>
          </w:p>
        </w:tc>
        <w:tc>
          <w:tcPr>
            <w:tcW w:w="6803" w:type="dxa"/>
          </w:tcPr>
          <w:p w14:paraId="6C21B671" w14:textId="3A3E27DD" w:rsidR="00FB15E7" w:rsidRPr="009D618C" w:rsidRDefault="00FB15E7" w:rsidP="00FB15E7">
            <w:pPr>
              <w:pStyle w:val="Glossary"/>
            </w:pPr>
            <w:r>
              <w:t>V</w:t>
            </w:r>
            <w:r w:rsidRPr="0083284E">
              <w:t>endors, suppliers or service providers, consultants and advisors to the Bank</w:t>
            </w:r>
          </w:p>
        </w:tc>
      </w:tr>
    </w:tbl>
    <w:p w14:paraId="38F3C2A9" w14:textId="77777777" w:rsidR="00E47FC2" w:rsidRPr="00E47FC2" w:rsidRDefault="00E47FC2" w:rsidP="00FF30BA"/>
    <w:sectPr w:rsidR="00E47FC2" w:rsidRPr="00E47FC2" w:rsidSect="00A93439">
      <w:headerReference w:type="even" r:id="rId12"/>
      <w:headerReference w:type="default" r:id="rId13"/>
      <w:footerReference w:type="default" r:id="rId14"/>
      <w:headerReference w:type="first" r:id="rId15"/>
      <w:footerReference w:type="first" r:id="rId16"/>
      <w:pgSz w:w="11906" w:h="16838" w:code="9"/>
      <w:pgMar w:top="1797" w:right="1418" w:bottom="709" w:left="1418" w:header="425" w:footer="51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03C1F0" w14:textId="77777777" w:rsidR="00170452" w:rsidRDefault="00170452" w:rsidP="00F3399C">
      <w:pPr>
        <w:spacing w:after="0" w:line="240" w:lineRule="auto"/>
      </w:pPr>
      <w:r>
        <w:separator/>
      </w:r>
    </w:p>
  </w:endnote>
  <w:endnote w:type="continuationSeparator" w:id="0">
    <w:p w14:paraId="3EB1A114" w14:textId="77777777" w:rsidR="00170452" w:rsidRDefault="00170452" w:rsidP="00F3399C">
      <w:pPr>
        <w:spacing w:after="0" w:line="240" w:lineRule="auto"/>
      </w:pPr>
      <w:r>
        <w:continuationSeparator/>
      </w:r>
    </w:p>
  </w:endnote>
  <w:endnote w:type="continuationNotice" w:id="1">
    <w:p w14:paraId="443DD3EC" w14:textId="77777777" w:rsidR="00170452" w:rsidRDefault="0017045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utsche Bank Text">
    <w:panose1 w:val="020B0503020202030204"/>
    <w:charset w:val="00"/>
    <w:family w:val="swiss"/>
    <w:pitch w:val="variable"/>
    <w:sig w:usb0="A000006F" w:usb1="0000006B" w:usb2="00000028"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utsche Bank Display">
    <w:panose1 w:val="020F0403020203030304"/>
    <w:charset w:val="00"/>
    <w:family w:val="swiss"/>
    <w:pitch w:val="variable"/>
    <w:sig w:usb0="A000006F" w:usb1="0000006B" w:usb2="00000028" w:usb3="00000000" w:csb0="00000001"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D91E8" w14:textId="77777777" w:rsidR="009A0725" w:rsidRDefault="009A0725" w:rsidP="00E829A4">
    <w:pPr>
      <w:pStyle w:val="Fuzeile"/>
    </w:pPr>
    <w:r>
      <w:rPr>
        <w:noProof/>
      </w:rPr>
      <mc:AlternateContent>
        <mc:Choice Requires="wps">
          <w:drawing>
            <wp:anchor distT="0" distB="0" distL="114300" distR="114300" simplePos="0" relativeHeight="251672576" behindDoc="0" locked="0" layoutInCell="0" allowOverlap="1" wp14:anchorId="37D0F40C" wp14:editId="662F5523">
              <wp:simplePos x="0" y="0"/>
              <wp:positionH relativeFrom="page">
                <wp:posOffset>0</wp:posOffset>
              </wp:positionH>
              <wp:positionV relativeFrom="page">
                <wp:posOffset>10228580</wp:posOffset>
              </wp:positionV>
              <wp:extent cx="7560310" cy="273050"/>
              <wp:effectExtent l="0" t="0" r="0" b="12700"/>
              <wp:wrapNone/>
              <wp:docPr id="8" name="MSIPCM565847bd863598c76034f172" descr="{&quot;HashCode&quot;:118669417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9AF22E4" w14:textId="28A982B4" w:rsidR="009A0725" w:rsidRPr="008F5BD1" w:rsidRDefault="009A0725" w:rsidP="008F5BD1">
                          <w:pPr>
                            <w:spacing w:before="0" w:after="0"/>
                            <w:jc w:val="center"/>
                            <w:rPr>
                              <w:rFonts w:ascii="Calibri" w:hAnsi="Calibri" w:cs="Calibri"/>
                              <w:color w:val="00000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7D0F40C" id="_x0000_t202" coordsize="21600,21600" o:spt="202" path="m,l,21600r21600,l21600,xe">
              <v:stroke joinstyle="miter"/>
              <v:path gradientshapeok="t" o:connecttype="rect"/>
            </v:shapetype>
            <v:shape id="MSIPCM565847bd863598c76034f172" o:spid="_x0000_s1026" type="#_x0000_t202" alt="{&quot;HashCode&quot;:1186694174,&quot;Height&quot;:841.0,&quot;Width&quot;:595.0,&quot;Placement&quot;:&quot;Footer&quot;,&quot;Index&quot;:&quot;Primary&quot;,&quot;Section&quot;:1,&quot;Top&quot;:0.0,&quot;Left&quot;:0.0}" style="position:absolute;margin-left:0;margin-top:805.4pt;width:595.3pt;height:21.5pt;z-index:25167257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Mrx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7o9mfehVzA+Cy6Wy5SEcrIsrM3G8lg6ghUhfelembMD&#10;7gEZe4STqljxDv4+t4d5uQ8gm8RNBLZHc8AbpZgoG55N1Prb/5R1edyLXwAAAP//AwBQSwMEFAAG&#10;AAgAAAAhAMQgy4TfAAAACwEAAA8AAABkcnMvZG93bnJldi54bWxMj81OwzAQhO9IvIO1SNyoEyhR&#10;G+JUCMQFCSEK4uzEm58mXkex2yZv380Jjjszmp0v2022FyccfetIQbyKQCCVzrRUK/j5frvbgPBB&#10;k9G9I1Qwo4ddfn2V6dS4M33haR9qwSXkU62gCWFIpfRlg1b7lRuQ2KvcaHXgc6ylGfWZy20v76Mo&#10;kVa3xB8aPeBLg2W3P1oF689tUclDZw8f8/s8t131+1pUSt3eTM9PIAJO4S8My3yeDjlvKtyRjBe9&#10;AgYJrCZxxASLH2+jBESxaI8PG5B5Jv8z5BcAAAD//wMAUEsBAi0AFAAGAAgAAAAhALaDOJL+AAAA&#10;4QEAABMAAAAAAAAAAAAAAAAAAAAAAFtDb250ZW50X1R5cGVzXS54bWxQSwECLQAUAAYACAAAACEA&#10;OP0h/9YAAACUAQAACwAAAAAAAAAAAAAAAAAvAQAAX3JlbHMvLnJlbHNQSwECLQAUAAYACAAAACEA&#10;4yDK8RMCAAAkBAAADgAAAAAAAAAAAAAAAAAuAgAAZHJzL2Uyb0RvYy54bWxQSwECLQAUAAYACAAA&#10;ACEAxCDLhN8AAAALAQAADwAAAAAAAAAAAAAAAABtBAAAZHJzL2Rvd25yZXYueG1sUEsFBgAAAAAE&#10;AAQA8wAAAHkFAAAAAA==&#10;" o:allowincell="f" filled="f" stroked="f" strokeweight=".5pt">
              <v:textbox inset=",0,,0">
                <w:txbxContent>
                  <w:p w14:paraId="69AF22E4" w14:textId="28A982B4" w:rsidR="009A0725" w:rsidRPr="008F5BD1" w:rsidRDefault="009A0725" w:rsidP="008F5BD1">
                    <w:pPr>
                      <w:spacing w:before="0" w:after="0"/>
                      <w:jc w:val="center"/>
                      <w:rPr>
                        <w:rFonts w:ascii="Calibri" w:hAnsi="Calibri" w:cs="Calibri"/>
                        <w:color w:val="000000"/>
                      </w:rPr>
                    </w:pPr>
                  </w:p>
                </w:txbxContent>
              </v:textbox>
              <w10:wrap anchorx="page" anchory="page"/>
            </v:shape>
          </w:pict>
        </mc:Fallback>
      </mc:AlternateContent>
    </w:r>
    <w:r>
      <w:ptab w:relativeTo="margin" w:alignment="center" w:leader="none"/>
    </w:r>
    <w:r>
      <w:ptab w:relativeTo="margin" w:alignment="right" w:leader="none"/>
    </w:r>
    <w:r>
      <w:t xml:space="preserve">Page </w:t>
    </w:r>
    <w:r>
      <w:fldChar w:fldCharType="begin"/>
    </w:r>
    <w:r>
      <w:instrText xml:space="preserve"> PAGE  \* Arabic  \* MERGEFORMAT </w:instrText>
    </w:r>
    <w:r>
      <w:fldChar w:fldCharType="separate"/>
    </w:r>
    <w:r>
      <w:rPr>
        <w:noProof/>
      </w:rPr>
      <w:t>1</w:t>
    </w:r>
    <w:r>
      <w:fldChar w:fldCharType="end"/>
    </w:r>
    <w:r>
      <w:t xml:space="preserve"> of </w:t>
    </w:r>
    <w:fldSimple w:instr="NUMPAGES  \* MERGEFORMAT">
      <w:r>
        <w:rPr>
          <w:noProof/>
        </w:rPr>
        <w:t>7</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4C1CA" w14:textId="656CE84B" w:rsidR="009A0725" w:rsidRPr="003F6B17" w:rsidRDefault="0026328E" w:rsidP="00477E4A">
    <w:pPr>
      <w:pStyle w:val="Fuzeile"/>
      <w:rPr>
        <w:lang w:val="en-US"/>
      </w:rPr>
    </w:pPr>
    <w:r>
      <w:rPr>
        <w:noProof/>
      </w:rPr>
      <mc:AlternateContent>
        <mc:Choice Requires="wps">
          <w:drawing>
            <wp:anchor distT="45720" distB="45720" distL="114300" distR="114300" simplePos="0" relativeHeight="251686912" behindDoc="1" locked="0" layoutInCell="1" allowOverlap="1" wp14:anchorId="0144E343" wp14:editId="78CFB42F">
              <wp:simplePos x="0" y="0"/>
              <wp:positionH relativeFrom="margin">
                <wp:posOffset>5890619</wp:posOffset>
              </wp:positionH>
              <wp:positionV relativeFrom="page">
                <wp:posOffset>8539342</wp:posOffset>
              </wp:positionV>
              <wp:extent cx="1059500" cy="314008"/>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1059500" cy="314008"/>
                      </a:xfrm>
                      <a:prstGeom prst="rect">
                        <a:avLst/>
                      </a:prstGeom>
                      <a:noFill/>
                      <a:ln w="9525">
                        <a:noFill/>
                        <a:miter lim="800000"/>
                        <a:headEnd/>
                        <a:tailEnd/>
                      </a:ln>
                    </wps:spPr>
                    <wps:txbx>
                      <w:txbxContent>
                        <w:p w14:paraId="2A692789" w14:textId="1F1E7CCD" w:rsidR="0026328E" w:rsidRPr="00375DFF" w:rsidRDefault="0026328E" w:rsidP="0026328E">
                          <w:pPr>
                            <w:pStyle w:val="Funotentext"/>
                            <w:rPr>
                              <w:color w:val="000000" w:themeColor="text1"/>
                              <w:sz w:val="12"/>
                              <w:szCs w:val="12"/>
                              <w:lang w:val="de-DE"/>
                            </w:rPr>
                          </w:pPr>
                          <w:r w:rsidRPr="00375DFF">
                            <w:rPr>
                              <w:color w:val="000000" w:themeColor="text1"/>
                              <w:sz w:val="12"/>
                              <w:szCs w:val="12"/>
                              <w:lang w:val="de-DE"/>
                            </w:rPr>
                            <w:t>Template Version: V</w:t>
                          </w:r>
                          <w:r>
                            <w:rPr>
                              <w:color w:val="000000" w:themeColor="text1"/>
                              <w:sz w:val="12"/>
                              <w:szCs w:val="12"/>
                              <w:lang w:val="de-DE"/>
                            </w:rPr>
                            <w:t>3.01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144E343" id="_x0000_t202" coordsize="21600,21600" o:spt="202" path="m,l,21600r21600,l21600,xe">
              <v:stroke joinstyle="miter"/>
              <v:path gradientshapeok="t" o:connecttype="rect"/>
            </v:shapetype>
            <v:shape id="Text Box 2" o:spid="_x0000_s1027" type="#_x0000_t202" style="position:absolute;margin-left:463.85pt;margin-top:672.4pt;width:83.45pt;height:24.75pt;rotation:90;z-index:-2516295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y9LAAIAAOIDAAAOAAAAZHJzL2Uyb0RvYy54bWysU9uO2yAQfa/Uf0C8N7bTuE2sOKvtbreq&#10;tL1Iu/0AjHGMCgwFEjv9+g7YSqL2bVU/IMYDZ845M2xvRq3IUTgvwdS0WOSUCMOhlWZf0x/PD2/W&#10;lPjATMsUGFHTk/D0Zvf61XawlVhCD6oVjiCI8dVga9qHYKss87wXmvkFWGEw2YHTLGDo9lnr2IDo&#10;WmXLPH+XDeBa64AL7/Hv/ZSku4TfdYKHb13nRSCqpsgtpNWltYlrttuyau+Y7SWfabAXsNBMGix6&#10;hrpngZGDk/9AackdeOjCgoPOoOskF0kDqinyv9Q89cyKpAXN8fZsk/9/sPzr8cl+dySMH2DEBiYR&#10;3j4C/+mJgbuemb24dQ6GXrAWCxfRsmywvpqvRqt95SNIM3yBFpvMDgES0Ng5TRyg6+Uqj1/6i6oJ&#10;1sJ2nM4tEGMgPBLIy02J5wjH3NsCb61TQVZFrOiwdT58EqBJ3NTUYYsTKjs++hC5XY7E4wYepFKp&#10;zcqQoaabclmmC1cZLQNOoZK6puuJZ7oQJX80bdoHJtW0xwLKzB5E2ZMBYWxGItvZoGhJA+0JTUny&#10;URA+EqTbg/tNyYADV1P/68CcoER9Nmjsplit4oSmYFW+X2LgrjPNdYYZjlA1DZRM27uQpnqSfIsN&#10;6GRy48JkpoyDlEyahz5O6nWcTl2e5u4PAAAA//8DAFBLAwQUAAYACAAAACEAWzPt+eMAAAAOAQAA&#10;DwAAAGRycy9kb3ducmV2LnhtbEyPy07DMBBF90j8gzVI7KidPkKaxqmgUlnQbFr4ADeeJhHxOIqd&#10;JvD1uCvYzege3TmTbSfTsiv2rrEkIZoJYEil1Q1VEj4/9k8JMOcVadVaQgnf6GCb399lKtV2pCNe&#10;T75ioYRcqiTU3ncp566s0Sg3sx1SyC62N8qHta+47tUYyk3L50LE3KiGwoVadbirsfw6DUbCMB5a&#10;2r0XxVv8/HPcF2VUTK+RlI8P08sGmMfJ/8Fw0w/qkAensx1IO9ZKWCfxMqAhmCdxBOyGiMVqDewc&#10;puVqIYDnGf//Rv4LAAD//wMAUEsBAi0AFAAGAAgAAAAhALaDOJL+AAAA4QEAABMAAAAAAAAAAAAA&#10;AAAAAAAAAFtDb250ZW50X1R5cGVzXS54bWxQSwECLQAUAAYACAAAACEAOP0h/9YAAACUAQAACwAA&#10;AAAAAAAAAAAAAAAvAQAAX3JlbHMvLnJlbHNQSwECLQAUAAYACAAAACEAjKsvSwACAADiAwAADgAA&#10;AAAAAAAAAAAAAAAuAgAAZHJzL2Uyb0RvYy54bWxQSwECLQAUAAYACAAAACEAWzPt+eMAAAAOAQAA&#10;DwAAAAAAAAAAAAAAAABaBAAAZHJzL2Rvd25yZXYueG1sUEsFBgAAAAAEAAQA8wAAAGoFAAAAAA==&#10;" filled="f" stroked="f">
              <v:textbox>
                <w:txbxContent>
                  <w:p w14:paraId="2A692789" w14:textId="1F1E7CCD" w:rsidR="0026328E" w:rsidRPr="00375DFF" w:rsidRDefault="0026328E" w:rsidP="0026328E">
                    <w:pPr>
                      <w:pStyle w:val="Funotentext"/>
                      <w:rPr>
                        <w:color w:val="000000" w:themeColor="text1"/>
                        <w:sz w:val="12"/>
                        <w:szCs w:val="12"/>
                        <w:lang w:val="de-DE"/>
                      </w:rPr>
                    </w:pPr>
                    <w:r w:rsidRPr="00375DFF">
                      <w:rPr>
                        <w:color w:val="000000" w:themeColor="text1"/>
                        <w:sz w:val="12"/>
                        <w:szCs w:val="12"/>
                        <w:lang w:val="de-DE"/>
                      </w:rPr>
                      <w:t>Template Version: V</w:t>
                    </w:r>
                    <w:r>
                      <w:rPr>
                        <w:color w:val="000000" w:themeColor="text1"/>
                        <w:sz w:val="12"/>
                        <w:szCs w:val="12"/>
                        <w:lang w:val="de-DE"/>
                      </w:rPr>
                      <w:t>3.01</w:t>
                    </w:r>
                  </w:p>
                </w:txbxContent>
              </v:textbox>
              <w10:wrap anchorx="margin" anchory="page"/>
            </v:shape>
          </w:pict>
        </mc:Fallback>
      </mc:AlternateContent>
    </w:r>
    <w:r w:rsidR="009A0725">
      <w:rPr>
        <w:noProof/>
      </w:rPr>
      <mc:AlternateContent>
        <mc:Choice Requires="wps">
          <w:drawing>
            <wp:anchor distT="0" distB="0" distL="114300" distR="114300" simplePos="0" relativeHeight="251680768" behindDoc="0" locked="0" layoutInCell="0" allowOverlap="1" wp14:anchorId="67279F5C" wp14:editId="76198521">
              <wp:simplePos x="0" y="0"/>
              <wp:positionH relativeFrom="page">
                <wp:posOffset>0</wp:posOffset>
              </wp:positionH>
              <wp:positionV relativeFrom="page">
                <wp:posOffset>10228580</wp:posOffset>
              </wp:positionV>
              <wp:extent cx="7541971" cy="273050"/>
              <wp:effectExtent l="0" t="0" r="0" b="12700"/>
              <wp:wrapNone/>
              <wp:docPr id="10" name="MSIPCMd55a440096a8e1dc08bde5d6" descr="{&quot;HashCode&quot;:1186694174,&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41971"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B4038D9" w14:textId="4083E10E" w:rsidR="009A0725" w:rsidRPr="008F5BD1" w:rsidRDefault="009A0725" w:rsidP="008F5BD1">
                          <w:pPr>
                            <w:spacing w:before="0" w:after="0"/>
                            <w:jc w:val="center"/>
                            <w:rPr>
                              <w:rFonts w:ascii="Calibri" w:hAnsi="Calibri" w:cs="Calibri"/>
                              <w:color w:val="00000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14:sizeRelH relativeFrom="margin">
                <wp14:pctWidth>0</wp14:pctWidth>
              </wp14:sizeRelH>
            </wp:anchor>
          </w:drawing>
        </mc:Choice>
        <mc:Fallback>
          <w:pict>
            <v:shape w14:anchorId="67279F5C" id="MSIPCMd55a440096a8e1dc08bde5d6" o:spid="_x0000_s1028" type="#_x0000_t202" alt="{&quot;HashCode&quot;:1186694174,&quot;Height&quot;:841.0,&quot;Width&quot;:595.0,&quot;Placement&quot;:&quot;Footer&quot;,&quot;Index&quot;:&quot;FirstPage&quot;,&quot;Section&quot;:1,&quot;Top&quot;:0.0,&quot;Left&quot;:0.0}" style="position:absolute;margin-left:0;margin-top:805.4pt;width:593.85pt;height:21.5pt;z-index:251680768;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Nn8FwIAACsEAAAOAAAAZHJzL2Uyb0RvYy54bWysU99v2jAQfp+0/8Hy+0igtKwRoWKtmCah&#10;thKd+mwcm0SyfZ5tSNhfv7NDoOv2NO3Fudyd78f3fZ7fdVqRg3C+AVPS8SinRBgOVWN2Jf3+svr0&#10;mRIfmKmYAiNKehSe3i0+fpi3thATqEFVwhEsYnzR2pLWIdgiyzyvhWZ+BFYYDEpwmgX8dbuscqzF&#10;6lplkzy/yVpwlXXAhffofeiDdJHqSyl4eJLSi0BUSXG2kE6Xzm08s8WcFTvHbN3w0xjsH6bQrDHY&#10;9FzqgQVG9q75o5RuuAMPMow46AykbLhIO+A24/zdNpuaWZF2QXC8PcPk/19Z/njY2GdHQvcFOiQw&#10;AtJaX3h0xn066XT84qQE4wjh8Qyb6ALh6JxdT8e3szElHGOT2VV+nXDNLret8+GrAE2iUVKHtCS0&#10;2GHtA3bE1CElNjOwapRK1ChD2pLeXGHJ3yJ4Qxm8eJk1WqHbdqSpcIphjy1UR1zPQc+8t3zV4Axr&#10;5sMzc0g1boTyDU94SAXYC04WJTW4n3/zx3xkAKOUtCidkvofe+YEJeqbQW5ux9Np1Fr6QcO99W4H&#10;r9nre0BVIm44VTJjblCDKR3oV1T3MnbDEDMce5Z0O5j3oRcyvg4ulsuUhKqyLKzNxvJYOmIWkX3p&#10;XpmzJ/gDEvcIg7hY8Y6FPrdHe7kPIJtEUcS3R/MEOyoyMXd6PVHyb/9T1uWNL34BAAD//wMAUEsD&#10;BBQABgAIAAAAIQAJuAlc3wAAAAsBAAAPAAAAZHJzL2Rvd25yZXYueG1sTI9LT8MwEITvSPwHa5G4&#10;USc82hDiVAjEBQlVFMTZiTePJl5Hsdsm/57NCY47M5qdL9tOthcnHH3rSEG8ikAglc60VCv4/nq7&#10;SUD4oMno3hEqmNHDNr+8yHRq3Jk+8bQPteAS8qlW0IQwpFL6skGr/coNSOxVbrQ68DnW0oz6zOW2&#10;l7dRtJZWt8QfGj3gS4Nltz9aBfe7x6KSh84ePub3eW676ue1qJS6vpqen0AEnMJfGJb5PB1y3lS4&#10;IxkvegUMElhdxxETLH6cbDYgikV7uEtA5pn8z5D/AgAA//8DAFBLAQItABQABgAIAAAAIQC2gziS&#10;/gAAAOEBAAATAAAAAAAAAAAAAAAAAAAAAABbQ29udGVudF9UeXBlc10ueG1sUEsBAi0AFAAGAAgA&#10;AAAhADj9If/WAAAAlAEAAAsAAAAAAAAAAAAAAAAALwEAAF9yZWxzLy5yZWxzUEsBAi0AFAAGAAgA&#10;AAAhAJp82fwXAgAAKwQAAA4AAAAAAAAAAAAAAAAALgIAAGRycy9lMm9Eb2MueG1sUEsBAi0AFAAG&#10;AAgAAAAhAAm4CVzfAAAACwEAAA8AAAAAAAAAAAAAAAAAcQQAAGRycy9kb3ducmV2LnhtbFBLBQYA&#10;AAAABAAEAPMAAAB9BQAAAAA=&#10;" o:allowincell="f" filled="f" stroked="f" strokeweight=".5pt">
              <v:textbox inset=",0,,0">
                <w:txbxContent>
                  <w:p w14:paraId="3B4038D9" w14:textId="4083E10E" w:rsidR="009A0725" w:rsidRPr="008F5BD1" w:rsidRDefault="009A0725" w:rsidP="008F5BD1">
                    <w:pPr>
                      <w:spacing w:before="0" w:after="0"/>
                      <w:jc w:val="center"/>
                      <w:rPr>
                        <w:rFonts w:ascii="Calibri" w:hAnsi="Calibri" w:cs="Calibri"/>
                        <w:color w:val="000000"/>
                      </w:rPr>
                    </w:pPr>
                  </w:p>
                </w:txbxContent>
              </v:textbox>
              <w10:wrap anchorx="page" anchory="page"/>
            </v:shape>
          </w:pict>
        </mc:Fallback>
      </mc:AlternateContent>
    </w:r>
    <w:r w:rsidR="009A0725">
      <w:rPr>
        <w:noProof/>
      </w:rPr>
      <mc:AlternateContent>
        <mc:Choice Requires="wps">
          <w:drawing>
            <wp:anchor distT="45720" distB="45720" distL="114300" distR="114300" simplePos="0" relativeHeight="251664384" behindDoc="1" locked="0" layoutInCell="1" allowOverlap="1" wp14:anchorId="4C1534BB" wp14:editId="6494B995">
              <wp:simplePos x="0" y="0"/>
              <wp:positionH relativeFrom="margin">
                <wp:posOffset>5558891</wp:posOffset>
              </wp:positionH>
              <wp:positionV relativeFrom="page">
                <wp:posOffset>6327647</wp:posOffset>
              </wp:positionV>
              <wp:extent cx="1417612" cy="203201"/>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417612" cy="203201"/>
                      </a:xfrm>
                      <a:prstGeom prst="rect">
                        <a:avLst/>
                      </a:prstGeom>
                      <a:noFill/>
                      <a:ln w="9525">
                        <a:noFill/>
                        <a:miter lim="800000"/>
                        <a:headEnd/>
                        <a:tailEnd/>
                      </a:ln>
                    </wps:spPr>
                    <wps:txbx>
                      <w:txbxContent>
                        <w:p w14:paraId="6CDB3BD8" w14:textId="77777777" w:rsidR="009A0725" w:rsidRPr="00232E55" w:rsidRDefault="009A0725" w:rsidP="00E02941">
                          <w:pPr>
                            <w:pStyle w:val="Funotentext"/>
                            <w:rPr>
                              <w:color w:val="808080" w:themeColor="background1" w:themeShade="80"/>
                              <w:sz w:val="12"/>
                              <w:szCs w:val="12"/>
                            </w:rPr>
                          </w:pPr>
                          <w:r w:rsidRPr="00232E55">
                            <w:rPr>
                              <w:color w:val="808080" w:themeColor="background1" w:themeShade="80"/>
                              <w:sz w:val="12"/>
                              <w:szCs w:val="12"/>
                            </w:rPr>
                            <w:t xml:space="preserve">Template version: </w:t>
                          </w:r>
                          <w:r w:rsidR="00C448A3">
                            <w:rPr>
                              <w:color w:val="808080" w:themeColor="background1" w:themeShade="80"/>
                              <w:sz w:val="12"/>
                              <w:szCs w:val="12"/>
                            </w:rPr>
                            <w:t>V</w:t>
                          </w:r>
                          <w:r w:rsidR="00BC2337">
                            <w:rPr>
                              <w:color w:val="808080" w:themeColor="background1" w:themeShade="80"/>
                              <w:sz w:val="12"/>
                              <w:szCs w:val="12"/>
                            </w:rPr>
                            <w:fldChar w:fldCharType="begin"/>
                          </w:r>
                          <w:r w:rsidR="00BC2337">
                            <w:rPr>
                              <w:color w:val="808080" w:themeColor="background1" w:themeShade="80"/>
                              <w:sz w:val="12"/>
                              <w:szCs w:val="12"/>
                            </w:rPr>
                            <w:instrText xml:space="preserve"> DOCPROPERTY  Version  \* MERGEFORMAT </w:instrText>
                          </w:r>
                          <w:r w:rsidR="00BC2337">
                            <w:rPr>
                              <w:color w:val="808080" w:themeColor="background1" w:themeShade="80"/>
                              <w:sz w:val="12"/>
                              <w:szCs w:val="12"/>
                            </w:rPr>
                            <w:fldChar w:fldCharType="separate"/>
                          </w:r>
                          <w:r w:rsidR="001E61E8">
                            <w:rPr>
                              <w:color w:val="808080" w:themeColor="background1" w:themeShade="80"/>
                              <w:sz w:val="12"/>
                              <w:szCs w:val="12"/>
                            </w:rPr>
                            <w:t>3.01</w:t>
                          </w:r>
                          <w:r w:rsidR="00BC2337">
                            <w:rPr>
                              <w:color w:val="808080" w:themeColor="background1" w:themeShade="80"/>
                              <w:sz w:val="12"/>
                              <w:szCs w:val="12"/>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1534BB" id="_x0000_s1029" type="#_x0000_t202" style="position:absolute;margin-left:437.7pt;margin-top:498.25pt;width:111.6pt;height:16pt;rotation:-90;z-index:-2516520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WFzBAIAAOMDAAAOAAAAZHJzL2Uyb0RvYy54bWysU11v2yAUfZ+0/4B4Xxy7SdpaIVXXrtOk&#10;7kPq9gMIxjEacBmQ2Nmv7wVbSbS9TfMD4vrCueece1nfDUaTg/RBgWW0nM0pkVZAo+yO0R/fn97d&#10;UBIitw3XYCWjRxno3ebtm3XvallBB7qRniCIDXXvGO1idHVRBNFJw8MMnLSYbMEbHjH0u6LxvEd0&#10;o4tqPl8VPfjGeRAyBPz7OCbpJuO3rRTxa9sGGYlmFLnFvPq8btNabNa83nnuOiUmGvwfWBiuLBY9&#10;QT3yyMneq7+gjBIeArRxJsAU0LZKyKwB1ZTzP9S8dNzJrAXNCe5kU/h/sOLL4cV98yQO72HABmYR&#10;wT2D+BmIhYeO25289x76TvIGC5fJsqJ3oZ6uJqtDHRLItv8MDTaZ7yNkoKH1hnhA18sVdgu//Btl&#10;EyyG/TieeiCHSERisCivV2VFicBcNb9CW3JFXiewZLHzIX6UYEjaMOqxxxmVH55DTOTOR9JxC09K&#10;69xnbUnP6O2yWuYLFxmjIo6hVobRm5FnvpA0f7BN3keu9LjHAtpOJiTdowNx2A5ENYxeJb7Jky00&#10;R3Ql60et+EqQbgf+NyU9Thyj4deee0mJ/mTR2dtysUgjmoPF8rrCwF9mtpcZbgVCMRopGbcPMY/1&#10;KPkeO9Cq7MaZyUQZJymbNE19GtXLOJ86v83NKwAAAP//AwBQSwMEFAAGAAgAAAAhAOfXHbTeAAAA&#10;DQEAAA8AAABkcnMvZG93bnJldi54bWxMj0tPwzAQhO9I/Adrkbggaqc8G+JUPITEtQHubrxNIuJ1&#10;FW+b5N+zPcFtdnc0+02xnkKvjjikLpKFbGFAIdXRd9RY+Pp8v34EldiRd30ktDBjgnV5fla43MeR&#10;NnisuFESQil3Flrmfa51qlsMLi3iHkluuzgExzIOjfaDGyU89HppzL0OriP50Lo9vrZY/1SHYIHf&#10;uIv++8rs4ma8e5k/qqTDbO3lxfT8BIpx4j8znPAFHUph2sYD+aR6C6uHTLqwCGNWoE4OY25ktRWV&#10;LW8z0GWh/7cofwEAAP//AwBQSwECLQAUAAYACAAAACEAtoM4kv4AAADhAQAAEwAAAAAAAAAAAAAA&#10;AAAAAAAAW0NvbnRlbnRfVHlwZXNdLnhtbFBLAQItABQABgAIAAAAIQA4/SH/1gAAAJQBAAALAAAA&#10;AAAAAAAAAAAAAC8BAABfcmVscy8ucmVsc1BLAQItABQABgAIAAAAIQAU9WFzBAIAAOMDAAAOAAAA&#10;AAAAAAAAAAAAAC4CAABkcnMvZTJvRG9jLnhtbFBLAQItABQABgAIAAAAIQDn1x203gAAAA0BAAAP&#10;AAAAAAAAAAAAAAAAAF4EAABkcnMvZG93bnJldi54bWxQSwUGAAAAAAQABADzAAAAaQUAAAAA&#10;" filled="f" stroked="f">
              <v:textbox>
                <w:txbxContent>
                  <w:p w14:paraId="6CDB3BD8" w14:textId="77777777" w:rsidR="009A0725" w:rsidRPr="00232E55" w:rsidRDefault="009A0725" w:rsidP="00E02941">
                    <w:pPr>
                      <w:pStyle w:val="Funotentext"/>
                      <w:rPr>
                        <w:color w:val="808080" w:themeColor="background1" w:themeShade="80"/>
                        <w:sz w:val="12"/>
                        <w:szCs w:val="12"/>
                      </w:rPr>
                    </w:pPr>
                    <w:r w:rsidRPr="00232E55">
                      <w:rPr>
                        <w:color w:val="808080" w:themeColor="background1" w:themeShade="80"/>
                        <w:sz w:val="12"/>
                        <w:szCs w:val="12"/>
                      </w:rPr>
                      <w:t xml:space="preserve">Template version: </w:t>
                    </w:r>
                    <w:r w:rsidR="00C448A3">
                      <w:rPr>
                        <w:color w:val="808080" w:themeColor="background1" w:themeShade="80"/>
                        <w:sz w:val="12"/>
                        <w:szCs w:val="12"/>
                      </w:rPr>
                      <w:t>V</w:t>
                    </w:r>
                    <w:r w:rsidR="00BC2337">
                      <w:rPr>
                        <w:color w:val="808080" w:themeColor="background1" w:themeShade="80"/>
                        <w:sz w:val="12"/>
                        <w:szCs w:val="12"/>
                      </w:rPr>
                      <w:fldChar w:fldCharType="begin"/>
                    </w:r>
                    <w:r w:rsidR="00BC2337">
                      <w:rPr>
                        <w:color w:val="808080" w:themeColor="background1" w:themeShade="80"/>
                        <w:sz w:val="12"/>
                        <w:szCs w:val="12"/>
                      </w:rPr>
                      <w:instrText xml:space="preserve"> DOCPROPERTY  Version  \* MERGEFORMAT </w:instrText>
                    </w:r>
                    <w:r w:rsidR="00BC2337">
                      <w:rPr>
                        <w:color w:val="808080" w:themeColor="background1" w:themeShade="80"/>
                        <w:sz w:val="12"/>
                        <w:szCs w:val="12"/>
                      </w:rPr>
                      <w:fldChar w:fldCharType="separate"/>
                    </w:r>
                    <w:r w:rsidR="001E61E8">
                      <w:rPr>
                        <w:color w:val="808080" w:themeColor="background1" w:themeShade="80"/>
                        <w:sz w:val="12"/>
                        <w:szCs w:val="12"/>
                      </w:rPr>
                      <w:t>3.01</w:t>
                    </w:r>
                    <w:r w:rsidR="00BC2337">
                      <w:rPr>
                        <w:color w:val="808080" w:themeColor="background1" w:themeShade="80"/>
                        <w:sz w:val="12"/>
                        <w:szCs w:val="12"/>
                      </w:rPr>
                      <w:fldChar w:fldCharType="end"/>
                    </w:r>
                  </w:p>
                </w:txbxContent>
              </v:textbox>
              <w10:wrap anchorx="margin" anchory="page"/>
            </v:shape>
          </w:pict>
        </mc:Fallback>
      </mc:AlternateContent>
    </w:r>
    <w:r w:rsidR="009A0725" w:rsidRPr="003F6B17">
      <w:rPr>
        <w:lang w:val="en-US"/>
      </w:rPr>
      <w:t xml:space="preserve">The information contained herein is the property of Deutsche Bank Group and may not be copied, </w:t>
    </w:r>
    <w:r w:rsidR="004E0ADC" w:rsidRPr="003F6B17">
      <w:rPr>
        <w:lang w:val="en-US"/>
      </w:rPr>
      <w:t>used,</w:t>
    </w:r>
    <w:r w:rsidR="009A0725" w:rsidRPr="003F6B17">
      <w:rPr>
        <w:lang w:val="en-US"/>
      </w:rPr>
      <w:t xml:space="preserve"> or disclosed in whole or in part, stored in a retrieval system or transmitted in any form or by any means (electronic, mechanical, reprographic, recording or otherwise) outside of Deutsche Bank Group without prior written permission.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7D2B0B" w14:textId="77777777" w:rsidR="00170452" w:rsidRDefault="00170452" w:rsidP="00F3399C">
      <w:pPr>
        <w:spacing w:after="0" w:line="240" w:lineRule="auto"/>
      </w:pPr>
      <w:r>
        <w:separator/>
      </w:r>
    </w:p>
  </w:footnote>
  <w:footnote w:type="continuationSeparator" w:id="0">
    <w:p w14:paraId="35E81DA7" w14:textId="77777777" w:rsidR="00170452" w:rsidRDefault="00170452" w:rsidP="00F3399C">
      <w:pPr>
        <w:spacing w:after="0" w:line="240" w:lineRule="auto"/>
      </w:pPr>
      <w:r>
        <w:continuationSeparator/>
      </w:r>
    </w:p>
  </w:footnote>
  <w:footnote w:type="continuationNotice" w:id="1">
    <w:p w14:paraId="66BCC095" w14:textId="77777777" w:rsidR="00170452" w:rsidRDefault="00170452">
      <w:pPr>
        <w:spacing w:after="0" w:line="240" w:lineRule="auto"/>
      </w:pPr>
    </w:p>
  </w:footnote>
  <w:footnote w:id="2">
    <w:p w14:paraId="18A5DAC0" w14:textId="77777777" w:rsidR="00BE4468" w:rsidRPr="000B66C4" w:rsidRDefault="00BE4468" w:rsidP="00843CE6">
      <w:pPr>
        <w:autoSpaceDE w:val="0"/>
        <w:autoSpaceDN w:val="0"/>
        <w:adjustRightInd w:val="0"/>
        <w:rPr>
          <w:bCs/>
          <w:sz w:val="16"/>
          <w:szCs w:val="16"/>
        </w:rPr>
      </w:pPr>
      <w:r>
        <w:rPr>
          <w:rStyle w:val="Funotenzeichen"/>
        </w:rPr>
        <w:footnoteRef/>
      </w:r>
      <w:r>
        <w:t xml:space="preserve"> </w:t>
      </w:r>
      <w:r w:rsidRPr="000B66C4">
        <w:rPr>
          <w:sz w:val="16"/>
          <w:szCs w:val="16"/>
        </w:rPr>
        <w:t>Use of an index in measuring the performance of an investment fund includes using an index for the purpose of</w:t>
      </w:r>
      <w:r>
        <w:rPr>
          <w:sz w:val="16"/>
          <w:szCs w:val="16"/>
        </w:rPr>
        <w:t xml:space="preserve"> </w:t>
      </w:r>
      <w:r w:rsidRPr="000B66C4">
        <w:rPr>
          <w:sz w:val="16"/>
          <w:szCs w:val="16"/>
        </w:rPr>
        <w:t>tracking the return of an index or combination of indices, defining the asset allocation of a portfolio or of computing the performance fees.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58834" w14:textId="77777777" w:rsidR="009A0725" w:rsidRDefault="009A0725">
    <w:pPr>
      <w:pStyle w:val="Kopfzeile"/>
    </w:pPr>
  </w:p>
  <w:p w14:paraId="1CB6F98D" w14:textId="77777777" w:rsidR="009A0725" w:rsidRDefault="009A072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EB6B0" w14:textId="19E389C9" w:rsidR="009A0725" w:rsidRPr="00C34CE8" w:rsidRDefault="00B11009">
    <w:pPr>
      <w:pStyle w:val="Kopfzeile"/>
      <w:rPr>
        <w:lang w:val="en-US"/>
      </w:rPr>
    </w:pPr>
    <w:r>
      <w:rPr>
        <w:lang w:val="en-US"/>
      </w:rPr>
      <w:t xml:space="preserve">Conflicts of Interest </w:t>
    </w:r>
    <w:r w:rsidR="003E69D2">
      <w:rPr>
        <w:lang w:val="en-US"/>
      </w:rPr>
      <w:t>Code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20EF7" w14:textId="353A3D5B" w:rsidR="009A0725" w:rsidRDefault="0026328E" w:rsidP="004B3AD0">
    <w:pPr>
      <w:pStyle w:val="identifier"/>
    </w:pPr>
    <w:r w:rsidRPr="00A62D5F">
      <w:rPr>
        <w:color w:val="FFFFFF" w:themeColor="background1"/>
        <w:szCs w:val="60"/>
        <w:lang w:val="de-DE" w:eastAsia="de-DE"/>
      </w:rPr>
      <w:drawing>
        <wp:anchor distT="0" distB="0" distL="114300" distR="114300" simplePos="0" relativeHeight="251682816" behindDoc="1" locked="0" layoutInCell="1" allowOverlap="1" wp14:anchorId="75B3BE46" wp14:editId="082B2BE9">
          <wp:simplePos x="0" y="0"/>
          <wp:positionH relativeFrom="column">
            <wp:posOffset>-538480</wp:posOffset>
          </wp:positionH>
          <wp:positionV relativeFrom="paragraph">
            <wp:posOffset>1213684</wp:posOffset>
          </wp:positionV>
          <wp:extent cx="6911004" cy="7868991"/>
          <wp:effectExtent l="0" t="0" r="4445" b="0"/>
          <wp:wrapNone/>
          <wp:docPr id="2" name="Picture 6" descr="C:\Users\wahljul\AppData\Local\Microsoft\Windows\Temporary Internet Files\Content.IE5\J6M6GZM3\110411A_DWS_6016_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wahljul\AppData\Local\Microsoft\Windows\Temporary Internet Files\Content.IE5\J6M6GZM3\110411A_DWS_6016_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11004" cy="7868991"/>
                  </a:xfrm>
                  <a:prstGeom prst="rect">
                    <a:avLst/>
                  </a:prstGeom>
                  <a:noFill/>
                  <a:ln>
                    <a:noFill/>
                  </a:ln>
                </pic:spPr>
              </pic:pic>
            </a:graphicData>
          </a:graphic>
          <wp14:sizeRelH relativeFrom="page">
            <wp14:pctWidth>0</wp14:pctWidth>
          </wp14:sizeRelH>
          <wp14:sizeRelV relativeFrom="page">
            <wp14:pctHeight>0</wp14:pctHeight>
          </wp14:sizeRelV>
        </wp:anchor>
      </w:drawing>
    </w:r>
    <w:r w:rsidR="009A0725" w:rsidRPr="00610F57">
      <w:t>Deutsche Bank</w:t>
    </w:r>
    <w:r w:rsidR="009A0725" w:rsidRPr="00610F57">
      <mc:AlternateContent>
        <mc:Choice Requires="wps">
          <w:drawing>
            <wp:anchor distT="0" distB="0" distL="114300" distR="114300" simplePos="0" relativeHeight="251639808" behindDoc="0" locked="1" layoutInCell="0" allowOverlap="1" wp14:anchorId="5D9D428F" wp14:editId="750F4DC6">
              <wp:simplePos x="0" y="0"/>
              <wp:positionH relativeFrom="page">
                <wp:posOffset>6409055</wp:posOffset>
              </wp:positionH>
              <wp:positionV relativeFrom="page">
                <wp:posOffset>288290</wp:posOffset>
              </wp:positionV>
              <wp:extent cx="576000" cy="576000"/>
              <wp:effectExtent l="0" t="0" r="0" b="0"/>
              <wp:wrapNone/>
              <wp:docPr id="16" name="Freeform 16"/>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576000" cy="576000"/>
                      </a:xfrm>
                      <a:custGeom>
                        <a:avLst/>
                        <a:gdLst>
                          <a:gd name="T0" fmla="*/ 505 w 3609"/>
                          <a:gd name="T1" fmla="*/ 505 h 3609"/>
                          <a:gd name="T2" fmla="*/ 505 w 3609"/>
                          <a:gd name="T3" fmla="*/ 3103 h 3609"/>
                          <a:gd name="T4" fmla="*/ 3101 w 3609"/>
                          <a:gd name="T5" fmla="*/ 3103 h 3609"/>
                          <a:gd name="T6" fmla="*/ 3101 w 3609"/>
                          <a:gd name="T7" fmla="*/ 505 h 3609"/>
                          <a:gd name="T8" fmla="*/ 505 w 3609"/>
                          <a:gd name="T9" fmla="*/ 505 h 3609"/>
                          <a:gd name="T10" fmla="*/ 0 w 3609"/>
                          <a:gd name="T11" fmla="*/ 0 h 3609"/>
                          <a:gd name="T12" fmla="*/ 3609 w 3609"/>
                          <a:gd name="T13" fmla="*/ 0 h 3609"/>
                          <a:gd name="T14" fmla="*/ 3609 w 3609"/>
                          <a:gd name="T15" fmla="*/ 3609 h 3609"/>
                          <a:gd name="T16" fmla="*/ 0 w 3609"/>
                          <a:gd name="T17" fmla="*/ 3609 h 3609"/>
                          <a:gd name="T18" fmla="*/ 0 w 3609"/>
                          <a:gd name="T19" fmla="*/ 0 h 3609"/>
                          <a:gd name="T20" fmla="*/ 795 w 3609"/>
                          <a:gd name="T21" fmla="*/ 2745 h 3609"/>
                          <a:gd name="T22" fmla="*/ 2166 w 3609"/>
                          <a:gd name="T23" fmla="*/ 866 h 3609"/>
                          <a:gd name="T24" fmla="*/ 2814 w 3609"/>
                          <a:gd name="T25" fmla="*/ 866 h 3609"/>
                          <a:gd name="T26" fmla="*/ 1443 w 3609"/>
                          <a:gd name="T27" fmla="*/ 2745 h 3609"/>
                          <a:gd name="T28" fmla="*/ 795 w 3609"/>
                          <a:gd name="T29" fmla="*/ 2745 h 36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3609" h="3609">
                            <a:moveTo>
                              <a:pt x="505" y="505"/>
                            </a:moveTo>
                            <a:lnTo>
                              <a:pt x="505" y="3103"/>
                            </a:lnTo>
                            <a:lnTo>
                              <a:pt x="3101" y="3103"/>
                            </a:lnTo>
                            <a:lnTo>
                              <a:pt x="3101" y="505"/>
                            </a:lnTo>
                            <a:lnTo>
                              <a:pt x="505" y="505"/>
                            </a:lnTo>
                            <a:close/>
                            <a:moveTo>
                              <a:pt x="0" y="0"/>
                            </a:moveTo>
                            <a:lnTo>
                              <a:pt x="3609" y="0"/>
                            </a:lnTo>
                            <a:lnTo>
                              <a:pt x="3609" y="3609"/>
                            </a:lnTo>
                            <a:lnTo>
                              <a:pt x="0" y="3609"/>
                            </a:lnTo>
                            <a:lnTo>
                              <a:pt x="0" y="0"/>
                            </a:lnTo>
                            <a:close/>
                            <a:moveTo>
                              <a:pt x="795" y="2745"/>
                            </a:moveTo>
                            <a:lnTo>
                              <a:pt x="2166" y="866"/>
                            </a:lnTo>
                            <a:lnTo>
                              <a:pt x="2814" y="866"/>
                            </a:lnTo>
                            <a:lnTo>
                              <a:pt x="1443" y="2745"/>
                            </a:lnTo>
                            <a:lnTo>
                              <a:pt x="795" y="2745"/>
                            </a:lnTo>
                            <a:close/>
                          </a:path>
                        </a:pathLst>
                      </a:custGeom>
                      <a:solidFill>
                        <a:srgbClr val="0018A8"/>
                      </a:solidFill>
                      <a:ln>
                        <a:noFill/>
                      </a:ln>
                      <a:extLst>
                        <a:ext uri="{91240B29-F687-4F45-9708-019B960494DF}">
                          <a14:hiddenLine xmlns:a14="http://schemas.microsoft.com/office/drawing/2010/main" w="0">
                            <a:solidFill>
                              <a:srgbClr val="0018A8"/>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207F78" id="Freeform 16" o:spid="_x0000_s1026" style="position:absolute;margin-left:504.65pt;margin-top:22.7pt;width:45.35pt;height:45.35pt;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3609,36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PcC8gMAAPQNAAAOAAAAZHJzL2Uyb0RvYy54bWysV22PmzgQ/l7p/oPFx5O6YPK6aLNV1ZfT&#10;Sb1rpW5/gAMmoAPM2U7I9td3xuDEoXEWVf2CDX54PM+MPR4/vDnWFTlwqUrRbAJ6FwWEN6nIyma3&#10;Cb49fXy9DojSrMlYJRq+CZ65Ct48/vHqoWsTHotCVBmXBEgalXTtJii0bpMwVGnBa6buRMsbGMyF&#10;rJmGV7kLM8k6YK+rMI6iZdgJmbVSpFwp+Pq+HwweDX+e81R/znPFNak2AdimzVOa5xaf4eMDS3aS&#10;tUWZDmawX7CiZmUDk56o3jPNyF6WP1HVZSqFErm+S0UdijwvU240gBoajdR8LVjLjRZwjmpPblK/&#10;jzb99/C1/SLRdNV+Eul/ijTiQ1bqL6JsNExE0UVh16rkBMUXBT+RbfePyCCobK+FUX/MZY1UoIsc&#10;jZOfT07mR01S+LhYLaMIQpHC0NDHGVhif073Sv/FhSFih09K9zHKoGc8nJGG1TDrE5DkdQXh+jMk&#10;i2hBOjJbRvdDSE8oOkIVV1HxCHWda+agZjSaketk80sY9Vi2uIT52JaXMB/byoGhN66bBttxgs/u&#10;R6jrXNQNQOQRSV3/Rx6rqOt+DKKPzA2Al+zC/TfILvyPOI9MNwBema77jQIPmRsAL5nrf5/M2PX+&#10;6t63/GPX//Fq7lsYsRuCmC6XnhDEbgjWALuuM3aDEK/p3EfnBuEGnRsDOp/PfHRuGG6pdcNww3lu&#10;IEZ0kLF2Niexwqap9NgMeQp6hOEpGJnU2AqFKRGTFiS+pz6tsgRQmNQ8YIgJgmcmB78EBo8jeDEJ&#10;DP5E8GoSGJyFYJNaQfZtmzErIBo2fp/XX4APGuk0kXRQSafJpINOOk0oHZTSaVJxC6JU2GNTpOIW&#10;M/BpUnELGfg0qfEgNZ4mNR6kxhdS++gOK1hC9TSum2RAoG7aol6WtEzjwrdd0m0CcwKTYujgSC0O&#10;/EkYjMYdAGeT0YVt77UzomquIfGkHaAWYNvWUAIAshz4ajryPLulsm1P+bOVdjythOJG/tnu/p9+&#10;NZiaEvx4HrV/DsZijYLGWqAdtu0IZmsaoLQI27rTToSNJ/WrgaxozMS090Kg8LgwWEjgNwOFB8Ek&#10;IKb48exWtW179VfMtACrDTyHK9UUmacliyvdKTSVqMrsY1lVuFCV3G3fVZIcGN4aIrp+ux5kXcAq&#10;k7obgb/1Kxm/mFoZy2O8g6hkK7JnKJWl6K8ecFWCTiHk94B0cO3YBOr/PZM8INXfDZTb96Ac1pE2&#10;L/PFClOMdEe27ghrUqDaBDqAowa773R/t9m3stwVMBM1h08j3kKJnpdYShv7equGF7haGN8M1yC8&#10;u7jvBnW+rD3+AAAA//8DAFBLAwQUAAYACAAAACEAsOK7ct8AAAAMAQAADwAAAGRycy9kb3ducmV2&#10;LnhtbEyPzU7DMBCE70i8g7VIXBC1S0MLIU5FqeiBG/25O/GSRMTrELtp+vZsT3Db2R3NfpMtR9eK&#10;AfvQeNIwnSgQSKW3DVUa9rv3+ycQIRqypvWEGs4YYJlfX2Umtf5EnzhsYyU4hEJqNNQxdqmUoazR&#10;mTDxHRLfvnzvTGTZV9L25sThrpUPSs2lMw3xh9p0+FZj+b09Og3r8fwTDx/dsAnrhSwWYXWX7FZa&#10;396Mry8gIo7xzwwXfEaHnJkKfyQbRMtaqecZezUkjwmIi4NXXK/gaTafgswz+b9E/gsAAP//AwBQ&#10;SwECLQAUAAYACAAAACEAtoM4kv4AAADhAQAAEwAAAAAAAAAAAAAAAAAAAAAAW0NvbnRlbnRfVHlw&#10;ZXNdLnhtbFBLAQItABQABgAIAAAAIQA4/SH/1gAAAJQBAAALAAAAAAAAAAAAAAAAAC8BAABfcmVs&#10;cy8ucmVsc1BLAQItABQABgAIAAAAIQCBSPcC8gMAAPQNAAAOAAAAAAAAAAAAAAAAAC4CAABkcnMv&#10;ZTJvRG9jLnhtbFBLAQItABQABgAIAAAAIQCw4rty3wAAAAwBAAAPAAAAAAAAAAAAAAAAAEwGAABk&#10;cnMvZG93bnJldi54bWxQSwUGAAAAAAQABADzAAAAWAcAAAAA&#10;" o:allowincell="f" path="m505,505r,2598l3101,3103r,-2598l505,505xm,l3609,r,3609l,3609,,xm795,2745l2166,866r648,l1443,2745r-648,xe" fillcolor="#0018a8" stroked="f" strokecolor="#0018a8" strokeweight="0">
              <v:path arrowok="t" o:connecttype="custom" o:connectlocs="80599,80599;80599,495242;494923,495242;494923,80599;80599,80599;0,0;576000,0;576000,576000;0,576000;0,0;126883,438105;345696,138214;449117,138214;230304,438105;126883,438105" o:connectangles="0,0,0,0,0,0,0,0,0,0,0,0,0,0,0"/>
              <o:lock v:ext="edit" verticies="t"/>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AC8348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20CA23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4BC67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BB499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BCAECA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91AF51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2D806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F02214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39A41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62C686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DD6544"/>
    <w:multiLevelType w:val="hybridMultilevel"/>
    <w:tmpl w:val="9A206AF8"/>
    <w:lvl w:ilvl="0" w:tplc="50C2BB8A">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7993598"/>
    <w:multiLevelType w:val="hybridMultilevel"/>
    <w:tmpl w:val="6936B81C"/>
    <w:lvl w:ilvl="0" w:tplc="50C2BB8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93861A2"/>
    <w:multiLevelType w:val="hybridMultilevel"/>
    <w:tmpl w:val="7AAEE1C4"/>
    <w:lvl w:ilvl="0" w:tplc="50C2BB8A">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AB2034D"/>
    <w:multiLevelType w:val="hybridMultilevel"/>
    <w:tmpl w:val="BD700A2E"/>
    <w:lvl w:ilvl="0" w:tplc="50C2BB8A">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0E3F3961"/>
    <w:multiLevelType w:val="hybridMultilevel"/>
    <w:tmpl w:val="ED78CE44"/>
    <w:lvl w:ilvl="0" w:tplc="1B5283F6">
      <w:start w:val="1"/>
      <w:numFmt w:val="lowerLetter"/>
      <w:lvlText w:val="%1)"/>
      <w:lvlJc w:val="left"/>
      <w:pPr>
        <w:tabs>
          <w:tab w:val="num" w:pos="717"/>
        </w:tabs>
        <w:ind w:left="717" w:hanging="360"/>
      </w:pPr>
    </w:lvl>
    <w:lvl w:ilvl="1" w:tplc="08090019" w:tentative="1">
      <w:start w:val="1"/>
      <w:numFmt w:val="lowerLetter"/>
      <w:lvlText w:val="%2."/>
      <w:lvlJc w:val="left"/>
      <w:pPr>
        <w:ind w:left="-723" w:hanging="360"/>
      </w:pPr>
    </w:lvl>
    <w:lvl w:ilvl="2" w:tplc="0809001B" w:tentative="1">
      <w:start w:val="1"/>
      <w:numFmt w:val="lowerRoman"/>
      <w:lvlText w:val="%3."/>
      <w:lvlJc w:val="right"/>
      <w:pPr>
        <w:ind w:left="-3" w:hanging="180"/>
      </w:pPr>
    </w:lvl>
    <w:lvl w:ilvl="3" w:tplc="0809000F" w:tentative="1">
      <w:start w:val="1"/>
      <w:numFmt w:val="decimal"/>
      <w:lvlText w:val="%4."/>
      <w:lvlJc w:val="left"/>
      <w:pPr>
        <w:ind w:left="717" w:hanging="360"/>
      </w:pPr>
    </w:lvl>
    <w:lvl w:ilvl="4" w:tplc="08090019" w:tentative="1">
      <w:start w:val="1"/>
      <w:numFmt w:val="lowerLetter"/>
      <w:lvlText w:val="%5."/>
      <w:lvlJc w:val="left"/>
      <w:pPr>
        <w:ind w:left="1437" w:hanging="360"/>
      </w:pPr>
    </w:lvl>
    <w:lvl w:ilvl="5" w:tplc="0809001B" w:tentative="1">
      <w:start w:val="1"/>
      <w:numFmt w:val="lowerRoman"/>
      <w:lvlText w:val="%6."/>
      <w:lvlJc w:val="right"/>
      <w:pPr>
        <w:ind w:left="2157" w:hanging="180"/>
      </w:pPr>
    </w:lvl>
    <w:lvl w:ilvl="6" w:tplc="0809000F" w:tentative="1">
      <w:start w:val="1"/>
      <w:numFmt w:val="decimal"/>
      <w:lvlText w:val="%7."/>
      <w:lvlJc w:val="left"/>
      <w:pPr>
        <w:ind w:left="2877" w:hanging="360"/>
      </w:pPr>
    </w:lvl>
    <w:lvl w:ilvl="7" w:tplc="08090019" w:tentative="1">
      <w:start w:val="1"/>
      <w:numFmt w:val="lowerLetter"/>
      <w:lvlText w:val="%8."/>
      <w:lvlJc w:val="left"/>
      <w:pPr>
        <w:ind w:left="3597" w:hanging="360"/>
      </w:pPr>
    </w:lvl>
    <w:lvl w:ilvl="8" w:tplc="0809001B" w:tentative="1">
      <w:start w:val="1"/>
      <w:numFmt w:val="lowerRoman"/>
      <w:lvlText w:val="%9."/>
      <w:lvlJc w:val="right"/>
      <w:pPr>
        <w:ind w:left="4317" w:hanging="180"/>
      </w:pPr>
    </w:lvl>
  </w:abstractNum>
  <w:abstractNum w:abstractNumId="15" w15:restartNumberingAfterBreak="0">
    <w:nsid w:val="0EB32615"/>
    <w:multiLevelType w:val="hybridMultilevel"/>
    <w:tmpl w:val="BDEA5212"/>
    <w:lvl w:ilvl="0" w:tplc="6F7C757E">
      <w:start w:val="1"/>
      <w:numFmt w:val="decimal"/>
      <w:lvlText w:val="1.1.%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117327BA"/>
    <w:multiLevelType w:val="hybridMultilevel"/>
    <w:tmpl w:val="C3C4C61C"/>
    <w:lvl w:ilvl="0" w:tplc="50C2BB8A">
      <w:start w:val="1"/>
      <w:numFmt w:val="bullet"/>
      <w:lvlText w:val=""/>
      <w:lvlJc w:val="left"/>
      <w:pPr>
        <w:ind w:left="1065" w:hanging="705"/>
      </w:pPr>
      <w:rPr>
        <w:rFonts w:ascii="Symbol" w:hAnsi="Symbol" w:hint="default"/>
      </w:rPr>
    </w:lvl>
    <w:lvl w:ilvl="1" w:tplc="FFFFFFFF">
      <w:start w:val="1"/>
      <w:numFmt w:val="lowerLetter"/>
      <w:lvlText w:val="%2."/>
      <w:lvlJc w:val="left"/>
      <w:pPr>
        <w:ind w:left="1785" w:hanging="705"/>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229586F"/>
    <w:multiLevelType w:val="hybridMultilevel"/>
    <w:tmpl w:val="D46CCAB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135E3945"/>
    <w:multiLevelType w:val="hybridMultilevel"/>
    <w:tmpl w:val="16BCB0C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16491225"/>
    <w:multiLevelType w:val="hybridMultilevel"/>
    <w:tmpl w:val="8802150A"/>
    <w:lvl w:ilvl="0" w:tplc="2FAAD4C4">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8256F94"/>
    <w:multiLevelType w:val="hybridMultilevel"/>
    <w:tmpl w:val="957E68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18C325A3"/>
    <w:multiLevelType w:val="multilevel"/>
    <w:tmpl w:val="EF36A3B4"/>
    <w:lvl w:ilvl="0">
      <w:start w:val="1"/>
      <w:numFmt w:val="decimal"/>
      <w:pStyle w:val="berschrift1"/>
      <w:lvlText w:val="%1."/>
      <w:lvlJc w:val="left"/>
      <w:pPr>
        <w:ind w:left="360" w:hanging="360"/>
      </w:pPr>
      <w:rPr>
        <w:rFonts w:hint="default"/>
      </w:rPr>
    </w:lvl>
    <w:lvl w:ilvl="1">
      <w:start w:val="1"/>
      <w:numFmt w:val="decimal"/>
      <w:pStyle w:val="berschrift2"/>
      <w:lvlText w:val="%1.%2."/>
      <w:lvlJc w:val="left"/>
      <w:pPr>
        <w:ind w:left="0" w:firstLine="0"/>
      </w:pPr>
      <w:rPr>
        <w:rFonts w:hint="default"/>
      </w:rPr>
    </w:lvl>
    <w:lvl w:ilvl="2">
      <w:start w:val="1"/>
      <w:numFmt w:val="decimal"/>
      <w:pStyle w:val="berschrift3"/>
      <w:lvlText w:val="%1.%2.%3."/>
      <w:lvlJc w:val="left"/>
      <w:pPr>
        <w:ind w:left="0" w:firstLine="0"/>
      </w:pPr>
      <w:rPr>
        <w:rFonts w:hint="default"/>
      </w:rPr>
    </w:lvl>
    <w:lvl w:ilvl="3">
      <w:start w:val="1"/>
      <w:numFmt w:val="decimal"/>
      <w:pStyle w:val="berschrift4"/>
      <w:lvlText w:val="%1.%2.%3.%4."/>
      <w:lvlJc w:val="left"/>
      <w:pPr>
        <w:ind w:left="0" w:firstLine="0"/>
      </w:pPr>
      <w:rPr>
        <w:rFonts w:hint="default"/>
      </w:rPr>
    </w:lvl>
    <w:lvl w:ilvl="4">
      <w:start w:val="1"/>
      <w:numFmt w:val="decimal"/>
      <w:pStyle w:val="berschrift5"/>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2" w15:restartNumberingAfterBreak="0">
    <w:nsid w:val="19644573"/>
    <w:multiLevelType w:val="hybridMultilevel"/>
    <w:tmpl w:val="EC12FC70"/>
    <w:lvl w:ilvl="0" w:tplc="08090019">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1BF54E43"/>
    <w:multiLevelType w:val="hybridMultilevel"/>
    <w:tmpl w:val="A45864A4"/>
    <w:lvl w:ilvl="0" w:tplc="50DEEC3E">
      <w:start w:val="1"/>
      <w:numFmt w:val="bullet"/>
      <w:lvlText w:val="¾"/>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4" w15:restartNumberingAfterBreak="0">
    <w:nsid w:val="1E141535"/>
    <w:multiLevelType w:val="hybridMultilevel"/>
    <w:tmpl w:val="F2E6FAB2"/>
    <w:lvl w:ilvl="0" w:tplc="50C2BB8A">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1EF97BA1"/>
    <w:multiLevelType w:val="hybridMultilevel"/>
    <w:tmpl w:val="56E627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4C8563D"/>
    <w:multiLevelType w:val="hybridMultilevel"/>
    <w:tmpl w:val="78F24E56"/>
    <w:lvl w:ilvl="0" w:tplc="D99844C2">
      <w:start w:val="1"/>
      <w:numFmt w:val="decimal"/>
      <w:pStyle w:val="Listenabsatz"/>
      <w:lvlText w:val="%1."/>
      <w:lvlJc w:val="left"/>
      <w:pPr>
        <w:ind w:left="737" w:hanging="357"/>
      </w:pPr>
      <w:rPr>
        <w:rFonts w:hint="default"/>
      </w:rPr>
    </w:lvl>
    <w:lvl w:ilvl="1" w:tplc="89E2134A">
      <w:start w:val="1"/>
      <w:numFmt w:val="lowerLetter"/>
      <w:lvlText w:val="%2."/>
      <w:lvlJc w:val="left"/>
      <w:pPr>
        <w:ind w:left="1134" w:hanging="397"/>
      </w:pPr>
      <w:rPr>
        <w:rFonts w:hint="default"/>
      </w:r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27" w15:restartNumberingAfterBreak="0">
    <w:nsid w:val="29F54E1C"/>
    <w:multiLevelType w:val="hybridMultilevel"/>
    <w:tmpl w:val="FFD41B4C"/>
    <w:lvl w:ilvl="0" w:tplc="FFFFFFFF">
      <w:start w:val="1"/>
      <w:numFmt w:val="decimal"/>
      <w:lvlText w:val="%1."/>
      <w:lvlJc w:val="left"/>
      <w:pPr>
        <w:ind w:left="720" w:hanging="360"/>
      </w:pPr>
    </w:lvl>
    <w:lvl w:ilvl="1" w:tplc="50C2BB8A">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326208B8"/>
    <w:multiLevelType w:val="hybridMultilevel"/>
    <w:tmpl w:val="4A1C7932"/>
    <w:lvl w:ilvl="0" w:tplc="50C2BB8A">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352B7262"/>
    <w:multiLevelType w:val="hybridMultilevel"/>
    <w:tmpl w:val="D67E492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35596399"/>
    <w:multiLevelType w:val="hybridMultilevel"/>
    <w:tmpl w:val="AE686690"/>
    <w:lvl w:ilvl="0" w:tplc="177C612C">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3A0A4005"/>
    <w:multiLevelType w:val="hybridMultilevel"/>
    <w:tmpl w:val="89168EE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3CE54B9D"/>
    <w:multiLevelType w:val="hybridMultilevel"/>
    <w:tmpl w:val="245C52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86748BA"/>
    <w:multiLevelType w:val="hybridMultilevel"/>
    <w:tmpl w:val="306AE10A"/>
    <w:lvl w:ilvl="0" w:tplc="D6AC2BAE">
      <w:start w:val="1"/>
      <w:numFmt w:val="bullet"/>
      <w:pStyle w:val="BulletList"/>
      <w:lvlText w:val="―"/>
      <w:lvlJc w:val="left"/>
      <w:pPr>
        <w:ind w:left="738" w:hanging="360"/>
      </w:pPr>
      <w:rPr>
        <w:rFonts w:ascii="Arial" w:hAnsi="Arial" w:hint="default"/>
      </w:rPr>
    </w:lvl>
    <w:lvl w:ilvl="1" w:tplc="08090003">
      <w:start w:val="1"/>
      <w:numFmt w:val="bullet"/>
      <w:lvlText w:val="o"/>
      <w:lvlJc w:val="left"/>
      <w:pPr>
        <w:ind w:left="1458" w:hanging="360"/>
      </w:pPr>
      <w:rPr>
        <w:rFonts w:ascii="Courier New" w:hAnsi="Courier New" w:cs="Courier New" w:hint="default"/>
      </w:rPr>
    </w:lvl>
    <w:lvl w:ilvl="2" w:tplc="08090005" w:tentative="1">
      <w:start w:val="1"/>
      <w:numFmt w:val="bullet"/>
      <w:lvlText w:val=""/>
      <w:lvlJc w:val="left"/>
      <w:pPr>
        <w:ind w:left="2178" w:hanging="360"/>
      </w:pPr>
      <w:rPr>
        <w:rFonts w:ascii="Wingdings" w:hAnsi="Wingdings" w:hint="default"/>
      </w:rPr>
    </w:lvl>
    <w:lvl w:ilvl="3" w:tplc="08090001" w:tentative="1">
      <w:start w:val="1"/>
      <w:numFmt w:val="bullet"/>
      <w:lvlText w:val=""/>
      <w:lvlJc w:val="left"/>
      <w:pPr>
        <w:ind w:left="2898" w:hanging="360"/>
      </w:pPr>
      <w:rPr>
        <w:rFonts w:ascii="Symbol" w:hAnsi="Symbol" w:hint="default"/>
      </w:rPr>
    </w:lvl>
    <w:lvl w:ilvl="4" w:tplc="08090003" w:tentative="1">
      <w:start w:val="1"/>
      <w:numFmt w:val="bullet"/>
      <w:lvlText w:val="o"/>
      <w:lvlJc w:val="left"/>
      <w:pPr>
        <w:ind w:left="3618" w:hanging="360"/>
      </w:pPr>
      <w:rPr>
        <w:rFonts w:ascii="Courier New" w:hAnsi="Courier New" w:cs="Courier New" w:hint="default"/>
      </w:rPr>
    </w:lvl>
    <w:lvl w:ilvl="5" w:tplc="08090005" w:tentative="1">
      <w:start w:val="1"/>
      <w:numFmt w:val="bullet"/>
      <w:lvlText w:val=""/>
      <w:lvlJc w:val="left"/>
      <w:pPr>
        <w:ind w:left="4338" w:hanging="360"/>
      </w:pPr>
      <w:rPr>
        <w:rFonts w:ascii="Wingdings" w:hAnsi="Wingdings" w:hint="default"/>
      </w:rPr>
    </w:lvl>
    <w:lvl w:ilvl="6" w:tplc="08090001" w:tentative="1">
      <w:start w:val="1"/>
      <w:numFmt w:val="bullet"/>
      <w:lvlText w:val=""/>
      <w:lvlJc w:val="left"/>
      <w:pPr>
        <w:ind w:left="5058" w:hanging="360"/>
      </w:pPr>
      <w:rPr>
        <w:rFonts w:ascii="Symbol" w:hAnsi="Symbol" w:hint="default"/>
      </w:rPr>
    </w:lvl>
    <w:lvl w:ilvl="7" w:tplc="08090003" w:tentative="1">
      <w:start w:val="1"/>
      <w:numFmt w:val="bullet"/>
      <w:lvlText w:val="o"/>
      <w:lvlJc w:val="left"/>
      <w:pPr>
        <w:ind w:left="5778" w:hanging="360"/>
      </w:pPr>
      <w:rPr>
        <w:rFonts w:ascii="Courier New" w:hAnsi="Courier New" w:cs="Courier New" w:hint="default"/>
      </w:rPr>
    </w:lvl>
    <w:lvl w:ilvl="8" w:tplc="08090005" w:tentative="1">
      <w:start w:val="1"/>
      <w:numFmt w:val="bullet"/>
      <w:lvlText w:val=""/>
      <w:lvlJc w:val="left"/>
      <w:pPr>
        <w:ind w:left="6498" w:hanging="360"/>
      </w:pPr>
      <w:rPr>
        <w:rFonts w:ascii="Wingdings" w:hAnsi="Wingdings" w:hint="default"/>
      </w:rPr>
    </w:lvl>
  </w:abstractNum>
  <w:abstractNum w:abstractNumId="34" w15:restartNumberingAfterBreak="0">
    <w:nsid w:val="49B85BA8"/>
    <w:multiLevelType w:val="hybridMultilevel"/>
    <w:tmpl w:val="FCBA37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B4846E6"/>
    <w:multiLevelType w:val="hybridMultilevel"/>
    <w:tmpl w:val="5C441F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E183B56"/>
    <w:multiLevelType w:val="hybridMultilevel"/>
    <w:tmpl w:val="4D728082"/>
    <w:lvl w:ilvl="0" w:tplc="50C2BB8A">
      <w:start w:val="1"/>
      <w:numFmt w:val="bullet"/>
      <w:lvlText w:val=""/>
      <w:lvlJc w:val="left"/>
      <w:pPr>
        <w:ind w:left="1776" w:hanging="360"/>
      </w:pPr>
      <w:rPr>
        <w:rFonts w:ascii="Symbol" w:hAnsi="Symbol" w:hint="default"/>
      </w:rPr>
    </w:lvl>
    <w:lvl w:ilvl="1" w:tplc="FFFFFFFF" w:tentative="1">
      <w:start w:val="1"/>
      <w:numFmt w:val="lowerLetter"/>
      <w:lvlText w:val="%2."/>
      <w:lvlJc w:val="left"/>
      <w:pPr>
        <w:ind w:left="2496" w:hanging="360"/>
      </w:pPr>
    </w:lvl>
    <w:lvl w:ilvl="2" w:tplc="FFFFFFFF" w:tentative="1">
      <w:start w:val="1"/>
      <w:numFmt w:val="lowerRoman"/>
      <w:lvlText w:val="%3."/>
      <w:lvlJc w:val="right"/>
      <w:pPr>
        <w:ind w:left="3216" w:hanging="180"/>
      </w:pPr>
    </w:lvl>
    <w:lvl w:ilvl="3" w:tplc="FFFFFFFF" w:tentative="1">
      <w:start w:val="1"/>
      <w:numFmt w:val="decimal"/>
      <w:lvlText w:val="%4."/>
      <w:lvlJc w:val="left"/>
      <w:pPr>
        <w:ind w:left="3936" w:hanging="360"/>
      </w:pPr>
    </w:lvl>
    <w:lvl w:ilvl="4" w:tplc="FFFFFFFF" w:tentative="1">
      <w:start w:val="1"/>
      <w:numFmt w:val="lowerLetter"/>
      <w:lvlText w:val="%5."/>
      <w:lvlJc w:val="left"/>
      <w:pPr>
        <w:ind w:left="4656" w:hanging="360"/>
      </w:pPr>
    </w:lvl>
    <w:lvl w:ilvl="5" w:tplc="FFFFFFFF" w:tentative="1">
      <w:start w:val="1"/>
      <w:numFmt w:val="lowerRoman"/>
      <w:lvlText w:val="%6."/>
      <w:lvlJc w:val="right"/>
      <w:pPr>
        <w:ind w:left="5376" w:hanging="180"/>
      </w:pPr>
    </w:lvl>
    <w:lvl w:ilvl="6" w:tplc="FFFFFFFF" w:tentative="1">
      <w:start w:val="1"/>
      <w:numFmt w:val="decimal"/>
      <w:lvlText w:val="%7."/>
      <w:lvlJc w:val="left"/>
      <w:pPr>
        <w:ind w:left="6096" w:hanging="360"/>
      </w:pPr>
    </w:lvl>
    <w:lvl w:ilvl="7" w:tplc="FFFFFFFF" w:tentative="1">
      <w:start w:val="1"/>
      <w:numFmt w:val="lowerLetter"/>
      <w:lvlText w:val="%8."/>
      <w:lvlJc w:val="left"/>
      <w:pPr>
        <w:ind w:left="6816" w:hanging="360"/>
      </w:pPr>
    </w:lvl>
    <w:lvl w:ilvl="8" w:tplc="FFFFFFFF" w:tentative="1">
      <w:start w:val="1"/>
      <w:numFmt w:val="lowerRoman"/>
      <w:lvlText w:val="%9."/>
      <w:lvlJc w:val="right"/>
      <w:pPr>
        <w:ind w:left="7536" w:hanging="180"/>
      </w:pPr>
    </w:lvl>
  </w:abstractNum>
  <w:abstractNum w:abstractNumId="37" w15:restartNumberingAfterBreak="0">
    <w:nsid w:val="4EED27EE"/>
    <w:multiLevelType w:val="hybridMultilevel"/>
    <w:tmpl w:val="C6F2CC14"/>
    <w:lvl w:ilvl="0" w:tplc="CBAAF066">
      <w:start w:val="1"/>
      <w:numFmt w:val="decimal"/>
      <w:pStyle w:val="Annex"/>
      <w:lvlText w:val="Annex %1:"/>
      <w:lvlJc w:val="left"/>
      <w:pPr>
        <w:ind w:left="36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8" w15:restartNumberingAfterBreak="0">
    <w:nsid w:val="502C7101"/>
    <w:multiLevelType w:val="hybridMultilevel"/>
    <w:tmpl w:val="A836B326"/>
    <w:lvl w:ilvl="0" w:tplc="FFFFFFFF">
      <w:start w:val="1"/>
      <w:numFmt w:val="decimal"/>
      <w:lvlText w:val="%1."/>
      <w:lvlJc w:val="left"/>
      <w:pPr>
        <w:ind w:left="720" w:hanging="360"/>
      </w:pPr>
    </w:lvl>
    <w:lvl w:ilvl="1" w:tplc="50C2BB8A">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52972E17"/>
    <w:multiLevelType w:val="hybridMultilevel"/>
    <w:tmpl w:val="D388CA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5666D2A"/>
    <w:multiLevelType w:val="hybridMultilevel"/>
    <w:tmpl w:val="EA1A7480"/>
    <w:lvl w:ilvl="0" w:tplc="AC3C2502">
      <w:start w:val="1"/>
      <w:numFmt w:val="decimal"/>
      <w:lvlText w:val="%1."/>
      <w:lvlJc w:val="left"/>
      <w:pPr>
        <w:ind w:left="1065" w:hanging="705"/>
      </w:pPr>
      <w:rPr>
        <w:rFonts w:hint="default"/>
      </w:rPr>
    </w:lvl>
    <w:lvl w:ilvl="1" w:tplc="228A8114">
      <w:start w:val="1"/>
      <w:numFmt w:val="lowerLetter"/>
      <w:lvlText w:val="%2."/>
      <w:lvlJc w:val="left"/>
      <w:pPr>
        <w:ind w:left="1785" w:hanging="705"/>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582C5AC4"/>
    <w:multiLevelType w:val="hybridMultilevel"/>
    <w:tmpl w:val="F0DE05CC"/>
    <w:lvl w:ilvl="0" w:tplc="895C33A0">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2" w15:restartNumberingAfterBreak="0">
    <w:nsid w:val="5B5A56BC"/>
    <w:multiLevelType w:val="hybridMultilevel"/>
    <w:tmpl w:val="474463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1320324"/>
    <w:multiLevelType w:val="hybridMultilevel"/>
    <w:tmpl w:val="9BEC24F4"/>
    <w:lvl w:ilvl="0" w:tplc="50C2BB8A">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63B56184"/>
    <w:multiLevelType w:val="hybridMultilevel"/>
    <w:tmpl w:val="886C3138"/>
    <w:lvl w:ilvl="0" w:tplc="50C2BB8A">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4416B05"/>
    <w:multiLevelType w:val="hybridMultilevel"/>
    <w:tmpl w:val="6BF8A71E"/>
    <w:lvl w:ilvl="0" w:tplc="50C2BB8A">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64AB3A92"/>
    <w:multiLevelType w:val="hybridMultilevel"/>
    <w:tmpl w:val="87CE63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66F7A13"/>
    <w:multiLevelType w:val="hybridMultilevel"/>
    <w:tmpl w:val="EAF8BE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6BD2051"/>
    <w:multiLevelType w:val="hybridMultilevel"/>
    <w:tmpl w:val="0AC2159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6B864D09"/>
    <w:multiLevelType w:val="hybridMultilevel"/>
    <w:tmpl w:val="52B2CC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E730655"/>
    <w:multiLevelType w:val="hybridMultilevel"/>
    <w:tmpl w:val="32369DF8"/>
    <w:lvl w:ilvl="0" w:tplc="390A9B6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FDD3D8D"/>
    <w:multiLevelType w:val="hybridMultilevel"/>
    <w:tmpl w:val="080E5EC0"/>
    <w:lvl w:ilvl="0" w:tplc="50C2BB8A">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74041352"/>
    <w:multiLevelType w:val="hybridMultilevel"/>
    <w:tmpl w:val="D410FB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4AD6EF4"/>
    <w:multiLevelType w:val="hybridMultilevel"/>
    <w:tmpl w:val="913AFB60"/>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770664D5"/>
    <w:multiLevelType w:val="hybridMultilevel"/>
    <w:tmpl w:val="A75294A8"/>
    <w:lvl w:ilvl="0" w:tplc="50C2BB8A">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7BDD1B32"/>
    <w:multiLevelType w:val="hybridMultilevel"/>
    <w:tmpl w:val="2620F4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6" w15:restartNumberingAfterBreak="0">
    <w:nsid w:val="7D736ACC"/>
    <w:multiLevelType w:val="hybridMultilevel"/>
    <w:tmpl w:val="AE98753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7DDC370F"/>
    <w:multiLevelType w:val="hybridMultilevel"/>
    <w:tmpl w:val="000AC2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FCD3A71"/>
    <w:multiLevelType w:val="hybridMultilevel"/>
    <w:tmpl w:val="B246AB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14058708">
    <w:abstractNumId w:val="41"/>
  </w:num>
  <w:num w:numId="2" w16cid:durableId="39864093">
    <w:abstractNumId w:val="30"/>
  </w:num>
  <w:num w:numId="3" w16cid:durableId="1484468141">
    <w:abstractNumId w:val="21"/>
  </w:num>
  <w:num w:numId="4" w16cid:durableId="682515175">
    <w:abstractNumId w:val="15"/>
  </w:num>
  <w:num w:numId="5" w16cid:durableId="1056011681">
    <w:abstractNumId w:val="33"/>
  </w:num>
  <w:num w:numId="6" w16cid:durableId="1601791286">
    <w:abstractNumId w:val="26"/>
  </w:num>
  <w:num w:numId="7" w16cid:durableId="1969164670">
    <w:abstractNumId w:val="37"/>
  </w:num>
  <w:num w:numId="8" w16cid:durableId="1378236430">
    <w:abstractNumId w:val="9"/>
  </w:num>
  <w:num w:numId="9" w16cid:durableId="1495104020">
    <w:abstractNumId w:val="7"/>
  </w:num>
  <w:num w:numId="10" w16cid:durableId="1048842251">
    <w:abstractNumId w:val="6"/>
  </w:num>
  <w:num w:numId="11" w16cid:durableId="230892667">
    <w:abstractNumId w:val="5"/>
  </w:num>
  <w:num w:numId="12" w16cid:durableId="1375887716">
    <w:abstractNumId w:val="4"/>
  </w:num>
  <w:num w:numId="13" w16cid:durableId="1954702652">
    <w:abstractNumId w:val="8"/>
  </w:num>
  <w:num w:numId="14" w16cid:durableId="187179562">
    <w:abstractNumId w:val="3"/>
  </w:num>
  <w:num w:numId="15" w16cid:durableId="1739554045">
    <w:abstractNumId w:val="2"/>
  </w:num>
  <w:num w:numId="16" w16cid:durableId="1374422107">
    <w:abstractNumId w:val="1"/>
  </w:num>
  <w:num w:numId="17" w16cid:durableId="1555312012">
    <w:abstractNumId w:val="0"/>
  </w:num>
  <w:num w:numId="18" w16cid:durableId="258564223">
    <w:abstractNumId w:val="19"/>
  </w:num>
  <w:num w:numId="19" w16cid:durableId="1141458962">
    <w:abstractNumId w:val="23"/>
  </w:num>
  <w:num w:numId="20" w16cid:durableId="494031344">
    <w:abstractNumId w:val="50"/>
  </w:num>
  <w:num w:numId="21" w16cid:durableId="37709107">
    <w:abstractNumId w:val="29"/>
  </w:num>
  <w:num w:numId="22" w16cid:durableId="1315375406">
    <w:abstractNumId w:val="55"/>
  </w:num>
  <w:num w:numId="23" w16cid:durableId="1751002205">
    <w:abstractNumId w:val="20"/>
  </w:num>
  <w:num w:numId="24" w16cid:durableId="160197466">
    <w:abstractNumId w:val="31"/>
  </w:num>
  <w:num w:numId="25" w16cid:durableId="191264107">
    <w:abstractNumId w:val="25"/>
  </w:num>
  <w:num w:numId="26" w16cid:durableId="1104301610">
    <w:abstractNumId w:val="21"/>
  </w:num>
  <w:num w:numId="27" w16cid:durableId="1275553164">
    <w:abstractNumId w:val="39"/>
  </w:num>
  <w:num w:numId="28" w16cid:durableId="1575699802">
    <w:abstractNumId w:val="53"/>
  </w:num>
  <w:num w:numId="29" w16cid:durableId="250085588">
    <w:abstractNumId w:val="51"/>
  </w:num>
  <w:num w:numId="30" w16cid:durableId="827793230">
    <w:abstractNumId w:val="28"/>
  </w:num>
  <w:num w:numId="31" w16cid:durableId="811217331">
    <w:abstractNumId w:val="57"/>
  </w:num>
  <w:num w:numId="32" w16cid:durableId="705914503">
    <w:abstractNumId w:val="34"/>
  </w:num>
  <w:num w:numId="33" w16cid:durableId="416170362">
    <w:abstractNumId w:val="21"/>
    <w:lvlOverride w:ilvl="0">
      <w:startOverride w:val="2"/>
    </w:lvlOverride>
    <w:lvlOverride w:ilvl="1">
      <w:startOverride w:val="2"/>
    </w:lvlOverride>
    <w:lvlOverride w:ilvl="2">
      <w:startOverride w:val="2"/>
    </w:lvlOverride>
  </w:num>
  <w:num w:numId="34" w16cid:durableId="665674590">
    <w:abstractNumId w:val="10"/>
  </w:num>
  <w:num w:numId="35" w16cid:durableId="1056197729">
    <w:abstractNumId w:val="24"/>
  </w:num>
  <w:num w:numId="36" w16cid:durableId="1987121884">
    <w:abstractNumId w:val="46"/>
  </w:num>
  <w:num w:numId="37" w16cid:durableId="13432384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563524059">
    <w:abstractNumId w:val="42"/>
  </w:num>
  <w:num w:numId="39" w16cid:durableId="420417113">
    <w:abstractNumId w:val="47"/>
  </w:num>
  <w:num w:numId="40" w16cid:durableId="1893274716">
    <w:abstractNumId w:val="52"/>
  </w:num>
  <w:num w:numId="41" w16cid:durableId="949773636">
    <w:abstractNumId w:val="32"/>
  </w:num>
  <w:num w:numId="42" w16cid:durableId="1736200350">
    <w:abstractNumId w:val="13"/>
  </w:num>
  <w:num w:numId="43" w16cid:durableId="1842157991">
    <w:abstractNumId w:val="40"/>
  </w:num>
  <w:num w:numId="44" w16cid:durableId="420637630">
    <w:abstractNumId w:val="36"/>
  </w:num>
  <w:num w:numId="45" w16cid:durableId="871386095">
    <w:abstractNumId w:val="16"/>
  </w:num>
  <w:num w:numId="46" w16cid:durableId="1940217227">
    <w:abstractNumId w:val="44"/>
  </w:num>
  <w:num w:numId="47" w16cid:durableId="1381519023">
    <w:abstractNumId w:val="35"/>
  </w:num>
  <w:num w:numId="48" w16cid:durableId="1827546787">
    <w:abstractNumId w:val="49"/>
  </w:num>
  <w:num w:numId="49" w16cid:durableId="1641879527">
    <w:abstractNumId w:val="45"/>
  </w:num>
  <w:num w:numId="50" w16cid:durableId="199051120">
    <w:abstractNumId w:val="54"/>
  </w:num>
  <w:num w:numId="51" w16cid:durableId="2018606605">
    <w:abstractNumId w:val="58"/>
  </w:num>
  <w:num w:numId="52" w16cid:durableId="75829787">
    <w:abstractNumId w:val="38"/>
  </w:num>
  <w:num w:numId="53" w16cid:durableId="1603878488">
    <w:abstractNumId w:val="27"/>
  </w:num>
  <w:num w:numId="54" w16cid:durableId="271400820">
    <w:abstractNumId w:val="12"/>
  </w:num>
  <w:num w:numId="55" w16cid:durableId="530070206">
    <w:abstractNumId w:val="43"/>
  </w:num>
  <w:num w:numId="56" w16cid:durableId="1571890796">
    <w:abstractNumId w:val="11"/>
  </w:num>
  <w:num w:numId="57" w16cid:durableId="700860106">
    <w:abstractNumId w:val="14"/>
  </w:num>
  <w:num w:numId="58" w16cid:durableId="847404608">
    <w:abstractNumId w:val="56"/>
  </w:num>
  <w:num w:numId="59" w16cid:durableId="1221097350">
    <w:abstractNumId w:val="48"/>
  </w:num>
  <w:num w:numId="60" w16cid:durableId="47263502">
    <w:abstractNumId w:val="22"/>
  </w:num>
  <w:num w:numId="61" w16cid:durableId="648510659">
    <w:abstractNumId w:val="17"/>
  </w:num>
  <w:num w:numId="62" w16cid:durableId="1354381620">
    <w:abstractNumId w:val="18"/>
  </w:num>
  <w:num w:numId="63" w16cid:durableId="2057118274">
    <w:abstractNumId w:val="21"/>
    <w:lvlOverride w:ilvl="0">
      <w:startOverride w:val="2"/>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2059621824">
    <w:abstractNumId w:val="21"/>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SortMethod w:val="00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61E8"/>
    <w:rsid w:val="00000250"/>
    <w:rsid w:val="00000668"/>
    <w:rsid w:val="00001C07"/>
    <w:rsid w:val="00002517"/>
    <w:rsid w:val="0000543E"/>
    <w:rsid w:val="0000733A"/>
    <w:rsid w:val="000079B6"/>
    <w:rsid w:val="00011CA0"/>
    <w:rsid w:val="000120AB"/>
    <w:rsid w:val="0001276A"/>
    <w:rsid w:val="00012FE8"/>
    <w:rsid w:val="00013D4B"/>
    <w:rsid w:val="00015356"/>
    <w:rsid w:val="00016F02"/>
    <w:rsid w:val="000206D8"/>
    <w:rsid w:val="0002104E"/>
    <w:rsid w:val="00021273"/>
    <w:rsid w:val="0002144D"/>
    <w:rsid w:val="00021697"/>
    <w:rsid w:val="00022301"/>
    <w:rsid w:val="0002271F"/>
    <w:rsid w:val="00022D1D"/>
    <w:rsid w:val="00022EDB"/>
    <w:rsid w:val="000260A5"/>
    <w:rsid w:val="0003116E"/>
    <w:rsid w:val="0003164D"/>
    <w:rsid w:val="00033069"/>
    <w:rsid w:val="00033EE1"/>
    <w:rsid w:val="000348A7"/>
    <w:rsid w:val="00035C44"/>
    <w:rsid w:val="000376B4"/>
    <w:rsid w:val="000376DF"/>
    <w:rsid w:val="00037D4D"/>
    <w:rsid w:val="00040330"/>
    <w:rsid w:val="00041721"/>
    <w:rsid w:val="00041811"/>
    <w:rsid w:val="00042865"/>
    <w:rsid w:val="00044B23"/>
    <w:rsid w:val="0004512D"/>
    <w:rsid w:val="00050576"/>
    <w:rsid w:val="00052A99"/>
    <w:rsid w:val="00053C38"/>
    <w:rsid w:val="00053EA5"/>
    <w:rsid w:val="00054430"/>
    <w:rsid w:val="00055DA4"/>
    <w:rsid w:val="0005719F"/>
    <w:rsid w:val="000576BF"/>
    <w:rsid w:val="00057D45"/>
    <w:rsid w:val="00057D78"/>
    <w:rsid w:val="00061582"/>
    <w:rsid w:val="00061CDD"/>
    <w:rsid w:val="00061EC7"/>
    <w:rsid w:val="00063959"/>
    <w:rsid w:val="00063EFF"/>
    <w:rsid w:val="000649B1"/>
    <w:rsid w:val="000649E6"/>
    <w:rsid w:val="000659BB"/>
    <w:rsid w:val="000711B9"/>
    <w:rsid w:val="00071588"/>
    <w:rsid w:val="00072D78"/>
    <w:rsid w:val="000730DB"/>
    <w:rsid w:val="00074932"/>
    <w:rsid w:val="000752A8"/>
    <w:rsid w:val="000760B2"/>
    <w:rsid w:val="00076D69"/>
    <w:rsid w:val="00076E1C"/>
    <w:rsid w:val="00077B62"/>
    <w:rsid w:val="00081BED"/>
    <w:rsid w:val="0008201A"/>
    <w:rsid w:val="00083534"/>
    <w:rsid w:val="00084C49"/>
    <w:rsid w:val="000850CD"/>
    <w:rsid w:val="00086009"/>
    <w:rsid w:val="000861A5"/>
    <w:rsid w:val="00086488"/>
    <w:rsid w:val="00086E3E"/>
    <w:rsid w:val="00087684"/>
    <w:rsid w:val="0008797B"/>
    <w:rsid w:val="000904D7"/>
    <w:rsid w:val="00091116"/>
    <w:rsid w:val="000937F4"/>
    <w:rsid w:val="00093B43"/>
    <w:rsid w:val="00093FE6"/>
    <w:rsid w:val="00094561"/>
    <w:rsid w:val="0009777B"/>
    <w:rsid w:val="00097B99"/>
    <w:rsid w:val="000A2292"/>
    <w:rsid w:val="000A29D3"/>
    <w:rsid w:val="000A3CE7"/>
    <w:rsid w:val="000A570F"/>
    <w:rsid w:val="000A6D66"/>
    <w:rsid w:val="000B09E4"/>
    <w:rsid w:val="000B1668"/>
    <w:rsid w:val="000B30D2"/>
    <w:rsid w:val="000B3E12"/>
    <w:rsid w:val="000B3EA1"/>
    <w:rsid w:val="000B49C2"/>
    <w:rsid w:val="000B4C3F"/>
    <w:rsid w:val="000B4EB9"/>
    <w:rsid w:val="000B6494"/>
    <w:rsid w:val="000B70F2"/>
    <w:rsid w:val="000C0AC4"/>
    <w:rsid w:val="000C16AA"/>
    <w:rsid w:val="000C1F10"/>
    <w:rsid w:val="000C39C0"/>
    <w:rsid w:val="000C5BF0"/>
    <w:rsid w:val="000C5F22"/>
    <w:rsid w:val="000C6544"/>
    <w:rsid w:val="000C72EE"/>
    <w:rsid w:val="000D184F"/>
    <w:rsid w:val="000D268B"/>
    <w:rsid w:val="000D3146"/>
    <w:rsid w:val="000D3869"/>
    <w:rsid w:val="000D404A"/>
    <w:rsid w:val="000D44FD"/>
    <w:rsid w:val="000D46D8"/>
    <w:rsid w:val="000D47FC"/>
    <w:rsid w:val="000D492A"/>
    <w:rsid w:val="000D6420"/>
    <w:rsid w:val="000D6C29"/>
    <w:rsid w:val="000D6F0D"/>
    <w:rsid w:val="000D765F"/>
    <w:rsid w:val="000D7E72"/>
    <w:rsid w:val="000E081D"/>
    <w:rsid w:val="000E0E00"/>
    <w:rsid w:val="000E1BE3"/>
    <w:rsid w:val="000E1C5A"/>
    <w:rsid w:val="000E1C6E"/>
    <w:rsid w:val="000E2176"/>
    <w:rsid w:val="000E46EF"/>
    <w:rsid w:val="000E4DF2"/>
    <w:rsid w:val="000E5052"/>
    <w:rsid w:val="000E560B"/>
    <w:rsid w:val="000E7E02"/>
    <w:rsid w:val="000F0669"/>
    <w:rsid w:val="000F0FE6"/>
    <w:rsid w:val="000F1A56"/>
    <w:rsid w:val="000F1ADD"/>
    <w:rsid w:val="000F44FD"/>
    <w:rsid w:val="000F6100"/>
    <w:rsid w:val="000F6483"/>
    <w:rsid w:val="000F702D"/>
    <w:rsid w:val="000F7051"/>
    <w:rsid w:val="000F7091"/>
    <w:rsid w:val="001026BE"/>
    <w:rsid w:val="0010358C"/>
    <w:rsid w:val="001038F2"/>
    <w:rsid w:val="001059AC"/>
    <w:rsid w:val="00106BE7"/>
    <w:rsid w:val="00107827"/>
    <w:rsid w:val="00110839"/>
    <w:rsid w:val="001108B4"/>
    <w:rsid w:val="00111EE2"/>
    <w:rsid w:val="0011265F"/>
    <w:rsid w:val="00112764"/>
    <w:rsid w:val="001136FC"/>
    <w:rsid w:val="00114B36"/>
    <w:rsid w:val="001152EB"/>
    <w:rsid w:val="00115ADA"/>
    <w:rsid w:val="00117561"/>
    <w:rsid w:val="0011776E"/>
    <w:rsid w:val="00117960"/>
    <w:rsid w:val="001201C7"/>
    <w:rsid w:val="00122835"/>
    <w:rsid w:val="00123537"/>
    <w:rsid w:val="00123A3D"/>
    <w:rsid w:val="001244D3"/>
    <w:rsid w:val="001265F8"/>
    <w:rsid w:val="00126C84"/>
    <w:rsid w:val="00127204"/>
    <w:rsid w:val="0012791A"/>
    <w:rsid w:val="00131517"/>
    <w:rsid w:val="0013308E"/>
    <w:rsid w:val="00136F3E"/>
    <w:rsid w:val="00137ADB"/>
    <w:rsid w:val="00137D07"/>
    <w:rsid w:val="00137F4C"/>
    <w:rsid w:val="001402DE"/>
    <w:rsid w:val="00141400"/>
    <w:rsid w:val="001419F3"/>
    <w:rsid w:val="00141A4A"/>
    <w:rsid w:val="001420C7"/>
    <w:rsid w:val="0014229F"/>
    <w:rsid w:val="0014554C"/>
    <w:rsid w:val="00147118"/>
    <w:rsid w:val="00147148"/>
    <w:rsid w:val="00147DDB"/>
    <w:rsid w:val="001501C3"/>
    <w:rsid w:val="0015177E"/>
    <w:rsid w:val="00151D60"/>
    <w:rsid w:val="00153CCF"/>
    <w:rsid w:val="0015466B"/>
    <w:rsid w:val="00154F51"/>
    <w:rsid w:val="00155087"/>
    <w:rsid w:val="00155DC9"/>
    <w:rsid w:val="00156E9D"/>
    <w:rsid w:val="001576DF"/>
    <w:rsid w:val="00157CC3"/>
    <w:rsid w:val="00157F8D"/>
    <w:rsid w:val="00160D32"/>
    <w:rsid w:val="00162848"/>
    <w:rsid w:val="00163363"/>
    <w:rsid w:val="00163DFC"/>
    <w:rsid w:val="0016453A"/>
    <w:rsid w:val="001650DF"/>
    <w:rsid w:val="00166F66"/>
    <w:rsid w:val="00167998"/>
    <w:rsid w:val="00170452"/>
    <w:rsid w:val="0017049C"/>
    <w:rsid w:val="00170D97"/>
    <w:rsid w:val="00172793"/>
    <w:rsid w:val="00173329"/>
    <w:rsid w:val="001736FA"/>
    <w:rsid w:val="00173995"/>
    <w:rsid w:val="00173C5A"/>
    <w:rsid w:val="00174321"/>
    <w:rsid w:val="001754B7"/>
    <w:rsid w:val="001777B5"/>
    <w:rsid w:val="001778B0"/>
    <w:rsid w:val="00177921"/>
    <w:rsid w:val="001805E4"/>
    <w:rsid w:val="00180792"/>
    <w:rsid w:val="00181B72"/>
    <w:rsid w:val="00181CA4"/>
    <w:rsid w:val="00181E3E"/>
    <w:rsid w:val="00182AC1"/>
    <w:rsid w:val="00182EA8"/>
    <w:rsid w:val="00183556"/>
    <w:rsid w:val="001840F0"/>
    <w:rsid w:val="00185CCE"/>
    <w:rsid w:val="00186570"/>
    <w:rsid w:val="00186ADC"/>
    <w:rsid w:val="00186CBE"/>
    <w:rsid w:val="00187A19"/>
    <w:rsid w:val="00192597"/>
    <w:rsid w:val="00192F11"/>
    <w:rsid w:val="001934D4"/>
    <w:rsid w:val="001940A6"/>
    <w:rsid w:val="001954CA"/>
    <w:rsid w:val="0019626B"/>
    <w:rsid w:val="001966A4"/>
    <w:rsid w:val="00196BB5"/>
    <w:rsid w:val="00197554"/>
    <w:rsid w:val="00197FE7"/>
    <w:rsid w:val="001A003B"/>
    <w:rsid w:val="001A0229"/>
    <w:rsid w:val="001A19CE"/>
    <w:rsid w:val="001A1AF4"/>
    <w:rsid w:val="001A1C4E"/>
    <w:rsid w:val="001A2597"/>
    <w:rsid w:val="001A4B23"/>
    <w:rsid w:val="001A5CB4"/>
    <w:rsid w:val="001A5DA9"/>
    <w:rsid w:val="001A63BC"/>
    <w:rsid w:val="001A6FE2"/>
    <w:rsid w:val="001A7097"/>
    <w:rsid w:val="001A783C"/>
    <w:rsid w:val="001B1A3D"/>
    <w:rsid w:val="001B334D"/>
    <w:rsid w:val="001B351D"/>
    <w:rsid w:val="001B4120"/>
    <w:rsid w:val="001B5514"/>
    <w:rsid w:val="001B6328"/>
    <w:rsid w:val="001B6EC7"/>
    <w:rsid w:val="001B7C8E"/>
    <w:rsid w:val="001C0C54"/>
    <w:rsid w:val="001C26D3"/>
    <w:rsid w:val="001C5B2C"/>
    <w:rsid w:val="001C5B78"/>
    <w:rsid w:val="001C6420"/>
    <w:rsid w:val="001C648D"/>
    <w:rsid w:val="001C65CD"/>
    <w:rsid w:val="001C684A"/>
    <w:rsid w:val="001C68E7"/>
    <w:rsid w:val="001D1908"/>
    <w:rsid w:val="001D21EC"/>
    <w:rsid w:val="001D283A"/>
    <w:rsid w:val="001D2B61"/>
    <w:rsid w:val="001D381B"/>
    <w:rsid w:val="001D3DDA"/>
    <w:rsid w:val="001D4986"/>
    <w:rsid w:val="001D4A52"/>
    <w:rsid w:val="001D511B"/>
    <w:rsid w:val="001D6D16"/>
    <w:rsid w:val="001E0022"/>
    <w:rsid w:val="001E0999"/>
    <w:rsid w:val="001E29C7"/>
    <w:rsid w:val="001E340A"/>
    <w:rsid w:val="001E430F"/>
    <w:rsid w:val="001E438A"/>
    <w:rsid w:val="001E475E"/>
    <w:rsid w:val="001E61E8"/>
    <w:rsid w:val="001E6682"/>
    <w:rsid w:val="001E717F"/>
    <w:rsid w:val="001E75C0"/>
    <w:rsid w:val="001E7EE6"/>
    <w:rsid w:val="001F2627"/>
    <w:rsid w:val="001F41B7"/>
    <w:rsid w:val="001F4462"/>
    <w:rsid w:val="001F48BA"/>
    <w:rsid w:val="001F4F26"/>
    <w:rsid w:val="001F57C6"/>
    <w:rsid w:val="001F5F2E"/>
    <w:rsid w:val="001F6517"/>
    <w:rsid w:val="001F65F1"/>
    <w:rsid w:val="002007B7"/>
    <w:rsid w:val="00200A34"/>
    <w:rsid w:val="002058D0"/>
    <w:rsid w:val="002058FE"/>
    <w:rsid w:val="00205F48"/>
    <w:rsid w:val="002079C5"/>
    <w:rsid w:val="002108D9"/>
    <w:rsid w:val="002117DB"/>
    <w:rsid w:val="00211A75"/>
    <w:rsid w:val="00212AEA"/>
    <w:rsid w:val="00212C4A"/>
    <w:rsid w:val="00213251"/>
    <w:rsid w:val="0021342A"/>
    <w:rsid w:val="00214A2D"/>
    <w:rsid w:val="00214D57"/>
    <w:rsid w:val="00214D69"/>
    <w:rsid w:val="00216143"/>
    <w:rsid w:val="00216C06"/>
    <w:rsid w:val="00216F0D"/>
    <w:rsid w:val="00220476"/>
    <w:rsid w:val="00220F3A"/>
    <w:rsid w:val="0022360D"/>
    <w:rsid w:val="00224CA8"/>
    <w:rsid w:val="002251E3"/>
    <w:rsid w:val="00226FAC"/>
    <w:rsid w:val="002278D7"/>
    <w:rsid w:val="00227A75"/>
    <w:rsid w:val="00230047"/>
    <w:rsid w:val="0023143B"/>
    <w:rsid w:val="00232385"/>
    <w:rsid w:val="00232A88"/>
    <w:rsid w:val="00232E55"/>
    <w:rsid w:val="00233371"/>
    <w:rsid w:val="002346B3"/>
    <w:rsid w:val="002355B6"/>
    <w:rsid w:val="00240D1C"/>
    <w:rsid w:val="00242316"/>
    <w:rsid w:val="002431FA"/>
    <w:rsid w:val="00243373"/>
    <w:rsid w:val="00243917"/>
    <w:rsid w:val="0024451A"/>
    <w:rsid w:val="0024531D"/>
    <w:rsid w:val="00245C8C"/>
    <w:rsid w:val="0024708F"/>
    <w:rsid w:val="00247570"/>
    <w:rsid w:val="0024758A"/>
    <w:rsid w:val="00247C04"/>
    <w:rsid w:val="00250D74"/>
    <w:rsid w:val="00251C41"/>
    <w:rsid w:val="00252A8B"/>
    <w:rsid w:val="00252AF0"/>
    <w:rsid w:val="00253404"/>
    <w:rsid w:val="00253803"/>
    <w:rsid w:val="00255233"/>
    <w:rsid w:val="0025713D"/>
    <w:rsid w:val="002607ED"/>
    <w:rsid w:val="0026161D"/>
    <w:rsid w:val="00262696"/>
    <w:rsid w:val="002628E5"/>
    <w:rsid w:val="00262B18"/>
    <w:rsid w:val="00262FEE"/>
    <w:rsid w:val="0026328E"/>
    <w:rsid w:val="0026452F"/>
    <w:rsid w:val="00264D72"/>
    <w:rsid w:val="0026562F"/>
    <w:rsid w:val="002665C2"/>
    <w:rsid w:val="00266D20"/>
    <w:rsid w:val="00267E5B"/>
    <w:rsid w:val="002701FC"/>
    <w:rsid w:val="00271009"/>
    <w:rsid w:val="002729AD"/>
    <w:rsid w:val="0027342E"/>
    <w:rsid w:val="00273CC3"/>
    <w:rsid w:val="00274687"/>
    <w:rsid w:val="00276964"/>
    <w:rsid w:val="0027752C"/>
    <w:rsid w:val="002805D5"/>
    <w:rsid w:val="00280C82"/>
    <w:rsid w:val="00281CE7"/>
    <w:rsid w:val="002828F9"/>
    <w:rsid w:val="00282A40"/>
    <w:rsid w:val="00282EC3"/>
    <w:rsid w:val="002831A8"/>
    <w:rsid w:val="0028481B"/>
    <w:rsid w:val="00284EA1"/>
    <w:rsid w:val="00284F00"/>
    <w:rsid w:val="00285AE4"/>
    <w:rsid w:val="002863DE"/>
    <w:rsid w:val="00287720"/>
    <w:rsid w:val="002902BC"/>
    <w:rsid w:val="00290397"/>
    <w:rsid w:val="0029039D"/>
    <w:rsid w:val="002917C7"/>
    <w:rsid w:val="00292816"/>
    <w:rsid w:val="002935D7"/>
    <w:rsid w:val="0029387A"/>
    <w:rsid w:val="00293BBB"/>
    <w:rsid w:val="00295620"/>
    <w:rsid w:val="00295B68"/>
    <w:rsid w:val="00295DCC"/>
    <w:rsid w:val="00296630"/>
    <w:rsid w:val="002976C1"/>
    <w:rsid w:val="002A00C0"/>
    <w:rsid w:val="002A0918"/>
    <w:rsid w:val="002A0B8B"/>
    <w:rsid w:val="002A3746"/>
    <w:rsid w:val="002A3C52"/>
    <w:rsid w:val="002A4430"/>
    <w:rsid w:val="002A4F3D"/>
    <w:rsid w:val="002A6F4A"/>
    <w:rsid w:val="002A770B"/>
    <w:rsid w:val="002B0C99"/>
    <w:rsid w:val="002B0FD2"/>
    <w:rsid w:val="002B1049"/>
    <w:rsid w:val="002B2326"/>
    <w:rsid w:val="002B2714"/>
    <w:rsid w:val="002B2857"/>
    <w:rsid w:val="002B29A9"/>
    <w:rsid w:val="002B2D3B"/>
    <w:rsid w:val="002B34B9"/>
    <w:rsid w:val="002B37DD"/>
    <w:rsid w:val="002B57F3"/>
    <w:rsid w:val="002B6326"/>
    <w:rsid w:val="002B7D84"/>
    <w:rsid w:val="002C0017"/>
    <w:rsid w:val="002C1668"/>
    <w:rsid w:val="002C1D00"/>
    <w:rsid w:val="002C2F8B"/>
    <w:rsid w:val="002C3607"/>
    <w:rsid w:val="002C38BA"/>
    <w:rsid w:val="002C4157"/>
    <w:rsid w:val="002C5109"/>
    <w:rsid w:val="002C5533"/>
    <w:rsid w:val="002C5A33"/>
    <w:rsid w:val="002D1529"/>
    <w:rsid w:val="002D1A62"/>
    <w:rsid w:val="002D2A3D"/>
    <w:rsid w:val="002D398D"/>
    <w:rsid w:val="002D3C8D"/>
    <w:rsid w:val="002D5233"/>
    <w:rsid w:val="002D77A6"/>
    <w:rsid w:val="002E0028"/>
    <w:rsid w:val="002E0312"/>
    <w:rsid w:val="002E0FB9"/>
    <w:rsid w:val="002E1B5E"/>
    <w:rsid w:val="002E1DBA"/>
    <w:rsid w:val="002E3AB6"/>
    <w:rsid w:val="002E3D59"/>
    <w:rsid w:val="002E51D1"/>
    <w:rsid w:val="002E556D"/>
    <w:rsid w:val="002E63F2"/>
    <w:rsid w:val="002E6E6C"/>
    <w:rsid w:val="002E783F"/>
    <w:rsid w:val="002F168E"/>
    <w:rsid w:val="002F4228"/>
    <w:rsid w:val="002F526B"/>
    <w:rsid w:val="002F5BF1"/>
    <w:rsid w:val="002F6A20"/>
    <w:rsid w:val="003015E5"/>
    <w:rsid w:val="00302FD5"/>
    <w:rsid w:val="00303970"/>
    <w:rsid w:val="003049CC"/>
    <w:rsid w:val="00307E69"/>
    <w:rsid w:val="00310458"/>
    <w:rsid w:val="003110E8"/>
    <w:rsid w:val="00311DD9"/>
    <w:rsid w:val="0031467F"/>
    <w:rsid w:val="00314DD0"/>
    <w:rsid w:val="00315EBA"/>
    <w:rsid w:val="0031668D"/>
    <w:rsid w:val="00316FFB"/>
    <w:rsid w:val="00317C93"/>
    <w:rsid w:val="003200C0"/>
    <w:rsid w:val="0032072B"/>
    <w:rsid w:val="003214ED"/>
    <w:rsid w:val="0032250F"/>
    <w:rsid w:val="003267E4"/>
    <w:rsid w:val="003273C4"/>
    <w:rsid w:val="0032793F"/>
    <w:rsid w:val="003279FC"/>
    <w:rsid w:val="00330303"/>
    <w:rsid w:val="00330666"/>
    <w:rsid w:val="00330F17"/>
    <w:rsid w:val="00330FE9"/>
    <w:rsid w:val="00331BF5"/>
    <w:rsid w:val="00332678"/>
    <w:rsid w:val="00332B84"/>
    <w:rsid w:val="00335EC0"/>
    <w:rsid w:val="003361D9"/>
    <w:rsid w:val="00340966"/>
    <w:rsid w:val="00340AAA"/>
    <w:rsid w:val="00340ACA"/>
    <w:rsid w:val="0034182C"/>
    <w:rsid w:val="00341CF3"/>
    <w:rsid w:val="00342E93"/>
    <w:rsid w:val="003434A8"/>
    <w:rsid w:val="00344036"/>
    <w:rsid w:val="00346903"/>
    <w:rsid w:val="00346C19"/>
    <w:rsid w:val="00347398"/>
    <w:rsid w:val="00347975"/>
    <w:rsid w:val="00350796"/>
    <w:rsid w:val="003510D0"/>
    <w:rsid w:val="003511E6"/>
    <w:rsid w:val="00351D02"/>
    <w:rsid w:val="003556FD"/>
    <w:rsid w:val="00356064"/>
    <w:rsid w:val="00356154"/>
    <w:rsid w:val="00357AE6"/>
    <w:rsid w:val="00362643"/>
    <w:rsid w:val="00362FF7"/>
    <w:rsid w:val="0036345B"/>
    <w:rsid w:val="00365053"/>
    <w:rsid w:val="00365204"/>
    <w:rsid w:val="00365309"/>
    <w:rsid w:val="00365566"/>
    <w:rsid w:val="00365C15"/>
    <w:rsid w:val="003668DA"/>
    <w:rsid w:val="00366CC3"/>
    <w:rsid w:val="00370E27"/>
    <w:rsid w:val="0037294D"/>
    <w:rsid w:val="00372976"/>
    <w:rsid w:val="00372F57"/>
    <w:rsid w:val="00373EFD"/>
    <w:rsid w:val="00374CCB"/>
    <w:rsid w:val="0037566E"/>
    <w:rsid w:val="0037587B"/>
    <w:rsid w:val="0037745F"/>
    <w:rsid w:val="0038020B"/>
    <w:rsid w:val="0038106D"/>
    <w:rsid w:val="003823C1"/>
    <w:rsid w:val="003824F0"/>
    <w:rsid w:val="00382DC7"/>
    <w:rsid w:val="003831C8"/>
    <w:rsid w:val="003839DB"/>
    <w:rsid w:val="00385DCD"/>
    <w:rsid w:val="00386094"/>
    <w:rsid w:val="00387EED"/>
    <w:rsid w:val="003912FA"/>
    <w:rsid w:val="00392E4D"/>
    <w:rsid w:val="00393D47"/>
    <w:rsid w:val="00395FF6"/>
    <w:rsid w:val="00396F45"/>
    <w:rsid w:val="0039766A"/>
    <w:rsid w:val="00397B6B"/>
    <w:rsid w:val="003A10EC"/>
    <w:rsid w:val="003A19B9"/>
    <w:rsid w:val="003A374A"/>
    <w:rsid w:val="003A4971"/>
    <w:rsid w:val="003A4C76"/>
    <w:rsid w:val="003A4D74"/>
    <w:rsid w:val="003A4E26"/>
    <w:rsid w:val="003A51CB"/>
    <w:rsid w:val="003A6C4C"/>
    <w:rsid w:val="003A7BEE"/>
    <w:rsid w:val="003A7DF0"/>
    <w:rsid w:val="003B2477"/>
    <w:rsid w:val="003B4226"/>
    <w:rsid w:val="003B4B9B"/>
    <w:rsid w:val="003C00F6"/>
    <w:rsid w:val="003C07EE"/>
    <w:rsid w:val="003C09E4"/>
    <w:rsid w:val="003C0A5F"/>
    <w:rsid w:val="003C375B"/>
    <w:rsid w:val="003C4792"/>
    <w:rsid w:val="003C6D80"/>
    <w:rsid w:val="003C784C"/>
    <w:rsid w:val="003C7D4A"/>
    <w:rsid w:val="003D059B"/>
    <w:rsid w:val="003D2FF5"/>
    <w:rsid w:val="003D3B70"/>
    <w:rsid w:val="003D4E7A"/>
    <w:rsid w:val="003D737D"/>
    <w:rsid w:val="003E0B18"/>
    <w:rsid w:val="003E122B"/>
    <w:rsid w:val="003E1E21"/>
    <w:rsid w:val="003E45EA"/>
    <w:rsid w:val="003E4D62"/>
    <w:rsid w:val="003E69D2"/>
    <w:rsid w:val="003E73B1"/>
    <w:rsid w:val="003E7A30"/>
    <w:rsid w:val="003F01C7"/>
    <w:rsid w:val="003F04F7"/>
    <w:rsid w:val="003F0A19"/>
    <w:rsid w:val="003F13A6"/>
    <w:rsid w:val="003F1788"/>
    <w:rsid w:val="003F2038"/>
    <w:rsid w:val="003F29D9"/>
    <w:rsid w:val="003F2CC3"/>
    <w:rsid w:val="003F2E9A"/>
    <w:rsid w:val="003F3E18"/>
    <w:rsid w:val="003F40FC"/>
    <w:rsid w:val="003F5497"/>
    <w:rsid w:val="003F5D9E"/>
    <w:rsid w:val="003F6B17"/>
    <w:rsid w:val="003F6C80"/>
    <w:rsid w:val="003F7818"/>
    <w:rsid w:val="00400582"/>
    <w:rsid w:val="00400A28"/>
    <w:rsid w:val="004010BE"/>
    <w:rsid w:val="00402CD9"/>
    <w:rsid w:val="004032F5"/>
    <w:rsid w:val="0040334A"/>
    <w:rsid w:val="00406995"/>
    <w:rsid w:val="00406AD4"/>
    <w:rsid w:val="004120B2"/>
    <w:rsid w:val="00412552"/>
    <w:rsid w:val="00412BA4"/>
    <w:rsid w:val="00413244"/>
    <w:rsid w:val="0041405B"/>
    <w:rsid w:val="00415C3B"/>
    <w:rsid w:val="0041685A"/>
    <w:rsid w:val="00416AAB"/>
    <w:rsid w:val="00416F4A"/>
    <w:rsid w:val="0041760E"/>
    <w:rsid w:val="00417CF8"/>
    <w:rsid w:val="00417D10"/>
    <w:rsid w:val="00420124"/>
    <w:rsid w:val="004201DF"/>
    <w:rsid w:val="0042093C"/>
    <w:rsid w:val="0042147E"/>
    <w:rsid w:val="004220A8"/>
    <w:rsid w:val="00422B67"/>
    <w:rsid w:val="00422ECC"/>
    <w:rsid w:val="004240D5"/>
    <w:rsid w:val="00425234"/>
    <w:rsid w:val="00426860"/>
    <w:rsid w:val="004309F1"/>
    <w:rsid w:val="004318D3"/>
    <w:rsid w:val="00432AD3"/>
    <w:rsid w:val="004345DC"/>
    <w:rsid w:val="004367E7"/>
    <w:rsid w:val="004372BE"/>
    <w:rsid w:val="0043799B"/>
    <w:rsid w:val="00440E66"/>
    <w:rsid w:val="00440E82"/>
    <w:rsid w:val="00441834"/>
    <w:rsid w:val="004418F8"/>
    <w:rsid w:val="004419DB"/>
    <w:rsid w:val="00442C69"/>
    <w:rsid w:val="00442F93"/>
    <w:rsid w:val="0044351F"/>
    <w:rsid w:val="0044624E"/>
    <w:rsid w:val="004477D0"/>
    <w:rsid w:val="00450413"/>
    <w:rsid w:val="004516BA"/>
    <w:rsid w:val="00452705"/>
    <w:rsid w:val="00453348"/>
    <w:rsid w:val="004544BF"/>
    <w:rsid w:val="00454F47"/>
    <w:rsid w:val="0045748C"/>
    <w:rsid w:val="004576BF"/>
    <w:rsid w:val="00457A85"/>
    <w:rsid w:val="00460016"/>
    <w:rsid w:val="00460A0E"/>
    <w:rsid w:val="0046194D"/>
    <w:rsid w:val="00464C18"/>
    <w:rsid w:val="00465B3A"/>
    <w:rsid w:val="00466E80"/>
    <w:rsid w:val="00467DF5"/>
    <w:rsid w:val="00470043"/>
    <w:rsid w:val="00470114"/>
    <w:rsid w:val="00470257"/>
    <w:rsid w:val="004728F9"/>
    <w:rsid w:val="00473047"/>
    <w:rsid w:val="0047307E"/>
    <w:rsid w:val="0047378F"/>
    <w:rsid w:val="004742EF"/>
    <w:rsid w:val="0047439A"/>
    <w:rsid w:val="00474777"/>
    <w:rsid w:val="00475ADB"/>
    <w:rsid w:val="0047677E"/>
    <w:rsid w:val="004775EA"/>
    <w:rsid w:val="00477C49"/>
    <w:rsid w:val="00477E09"/>
    <w:rsid w:val="00477E4A"/>
    <w:rsid w:val="00480150"/>
    <w:rsid w:val="00480CB8"/>
    <w:rsid w:val="00481D93"/>
    <w:rsid w:val="0048305A"/>
    <w:rsid w:val="004835A9"/>
    <w:rsid w:val="00483716"/>
    <w:rsid w:val="00483BDF"/>
    <w:rsid w:val="004853BB"/>
    <w:rsid w:val="00485B43"/>
    <w:rsid w:val="00485D32"/>
    <w:rsid w:val="0048763A"/>
    <w:rsid w:val="004903F4"/>
    <w:rsid w:val="00490437"/>
    <w:rsid w:val="004917E8"/>
    <w:rsid w:val="00491BD5"/>
    <w:rsid w:val="0049227E"/>
    <w:rsid w:val="004930F5"/>
    <w:rsid w:val="00494270"/>
    <w:rsid w:val="00494AD8"/>
    <w:rsid w:val="0049560F"/>
    <w:rsid w:val="0049693A"/>
    <w:rsid w:val="0049696C"/>
    <w:rsid w:val="00497B56"/>
    <w:rsid w:val="00497FCA"/>
    <w:rsid w:val="004A0419"/>
    <w:rsid w:val="004A1734"/>
    <w:rsid w:val="004A26E8"/>
    <w:rsid w:val="004A3A25"/>
    <w:rsid w:val="004A4F8B"/>
    <w:rsid w:val="004A53E7"/>
    <w:rsid w:val="004A77CD"/>
    <w:rsid w:val="004B01DB"/>
    <w:rsid w:val="004B036C"/>
    <w:rsid w:val="004B136E"/>
    <w:rsid w:val="004B2B2F"/>
    <w:rsid w:val="004B3AD0"/>
    <w:rsid w:val="004B7281"/>
    <w:rsid w:val="004B73EA"/>
    <w:rsid w:val="004B7C73"/>
    <w:rsid w:val="004C00B5"/>
    <w:rsid w:val="004C2F97"/>
    <w:rsid w:val="004C421C"/>
    <w:rsid w:val="004C423F"/>
    <w:rsid w:val="004C4C0B"/>
    <w:rsid w:val="004C54E8"/>
    <w:rsid w:val="004C72F0"/>
    <w:rsid w:val="004C7505"/>
    <w:rsid w:val="004C7697"/>
    <w:rsid w:val="004C7CAF"/>
    <w:rsid w:val="004D20A6"/>
    <w:rsid w:val="004D2127"/>
    <w:rsid w:val="004D2C16"/>
    <w:rsid w:val="004D4423"/>
    <w:rsid w:val="004D7CB8"/>
    <w:rsid w:val="004D7D50"/>
    <w:rsid w:val="004E00A6"/>
    <w:rsid w:val="004E0ADC"/>
    <w:rsid w:val="004E10A5"/>
    <w:rsid w:val="004E17C0"/>
    <w:rsid w:val="004E27F6"/>
    <w:rsid w:val="004E3734"/>
    <w:rsid w:val="004E404B"/>
    <w:rsid w:val="004E40A8"/>
    <w:rsid w:val="004E4463"/>
    <w:rsid w:val="004E683D"/>
    <w:rsid w:val="004E7590"/>
    <w:rsid w:val="004E7B40"/>
    <w:rsid w:val="004E7EC6"/>
    <w:rsid w:val="004E7EEA"/>
    <w:rsid w:val="004F0168"/>
    <w:rsid w:val="004F1276"/>
    <w:rsid w:val="004F12FD"/>
    <w:rsid w:val="004F39A7"/>
    <w:rsid w:val="004F58BB"/>
    <w:rsid w:val="004F593F"/>
    <w:rsid w:val="004F6791"/>
    <w:rsid w:val="004F713D"/>
    <w:rsid w:val="004F7B79"/>
    <w:rsid w:val="00501A01"/>
    <w:rsid w:val="00502ED8"/>
    <w:rsid w:val="00504A88"/>
    <w:rsid w:val="00504FE4"/>
    <w:rsid w:val="00505DFF"/>
    <w:rsid w:val="00505FAE"/>
    <w:rsid w:val="00510245"/>
    <w:rsid w:val="00513BF5"/>
    <w:rsid w:val="005140B7"/>
    <w:rsid w:val="00514522"/>
    <w:rsid w:val="00515337"/>
    <w:rsid w:val="0051549E"/>
    <w:rsid w:val="0051551B"/>
    <w:rsid w:val="00516434"/>
    <w:rsid w:val="00516C71"/>
    <w:rsid w:val="005174D8"/>
    <w:rsid w:val="00517AF6"/>
    <w:rsid w:val="00520EC7"/>
    <w:rsid w:val="005212BE"/>
    <w:rsid w:val="00521808"/>
    <w:rsid w:val="005229E0"/>
    <w:rsid w:val="00522B68"/>
    <w:rsid w:val="005244FB"/>
    <w:rsid w:val="005254C4"/>
    <w:rsid w:val="00525E34"/>
    <w:rsid w:val="00525E78"/>
    <w:rsid w:val="00526CA2"/>
    <w:rsid w:val="00526D0D"/>
    <w:rsid w:val="00531293"/>
    <w:rsid w:val="00531C76"/>
    <w:rsid w:val="00531F78"/>
    <w:rsid w:val="00532314"/>
    <w:rsid w:val="005324A8"/>
    <w:rsid w:val="005329A6"/>
    <w:rsid w:val="005329BE"/>
    <w:rsid w:val="005330F1"/>
    <w:rsid w:val="0053476D"/>
    <w:rsid w:val="005354C3"/>
    <w:rsid w:val="0053687C"/>
    <w:rsid w:val="00537460"/>
    <w:rsid w:val="00537A87"/>
    <w:rsid w:val="005402B3"/>
    <w:rsid w:val="00540EAF"/>
    <w:rsid w:val="0054125E"/>
    <w:rsid w:val="00541AD5"/>
    <w:rsid w:val="00542BC3"/>
    <w:rsid w:val="005432A9"/>
    <w:rsid w:val="0054519D"/>
    <w:rsid w:val="00545EEE"/>
    <w:rsid w:val="005466A4"/>
    <w:rsid w:val="005478F0"/>
    <w:rsid w:val="00550E34"/>
    <w:rsid w:val="00552B84"/>
    <w:rsid w:val="00553CF5"/>
    <w:rsid w:val="00555431"/>
    <w:rsid w:val="0055648F"/>
    <w:rsid w:val="00556ED6"/>
    <w:rsid w:val="00557D48"/>
    <w:rsid w:val="0056102A"/>
    <w:rsid w:val="0056124B"/>
    <w:rsid w:val="005616B8"/>
    <w:rsid w:val="0056197E"/>
    <w:rsid w:val="00562725"/>
    <w:rsid w:val="00562901"/>
    <w:rsid w:val="00562CF2"/>
    <w:rsid w:val="00563A09"/>
    <w:rsid w:val="00564197"/>
    <w:rsid w:val="00564B2D"/>
    <w:rsid w:val="00566005"/>
    <w:rsid w:val="00566172"/>
    <w:rsid w:val="00566F86"/>
    <w:rsid w:val="00567B3B"/>
    <w:rsid w:val="005709C1"/>
    <w:rsid w:val="00570E3A"/>
    <w:rsid w:val="00570F33"/>
    <w:rsid w:val="00572040"/>
    <w:rsid w:val="005724BF"/>
    <w:rsid w:val="00572CE7"/>
    <w:rsid w:val="005737CC"/>
    <w:rsid w:val="00573E3C"/>
    <w:rsid w:val="005744B7"/>
    <w:rsid w:val="0057456D"/>
    <w:rsid w:val="00574866"/>
    <w:rsid w:val="005766CA"/>
    <w:rsid w:val="005811F9"/>
    <w:rsid w:val="00581F66"/>
    <w:rsid w:val="00582056"/>
    <w:rsid w:val="00582E45"/>
    <w:rsid w:val="00583CD8"/>
    <w:rsid w:val="00584E45"/>
    <w:rsid w:val="00585ACF"/>
    <w:rsid w:val="00585D52"/>
    <w:rsid w:val="00585F36"/>
    <w:rsid w:val="00586DAB"/>
    <w:rsid w:val="005873FF"/>
    <w:rsid w:val="0059037E"/>
    <w:rsid w:val="00590F68"/>
    <w:rsid w:val="005914CA"/>
    <w:rsid w:val="0059186D"/>
    <w:rsid w:val="00591C6A"/>
    <w:rsid w:val="00591F83"/>
    <w:rsid w:val="00592945"/>
    <w:rsid w:val="005932DA"/>
    <w:rsid w:val="005937AA"/>
    <w:rsid w:val="005937EF"/>
    <w:rsid w:val="005948CB"/>
    <w:rsid w:val="00594B81"/>
    <w:rsid w:val="00594CB6"/>
    <w:rsid w:val="00595ED1"/>
    <w:rsid w:val="00596946"/>
    <w:rsid w:val="00597584"/>
    <w:rsid w:val="005A239B"/>
    <w:rsid w:val="005A3473"/>
    <w:rsid w:val="005A3862"/>
    <w:rsid w:val="005A3CF9"/>
    <w:rsid w:val="005A6C5D"/>
    <w:rsid w:val="005A6DCE"/>
    <w:rsid w:val="005A7263"/>
    <w:rsid w:val="005A72B1"/>
    <w:rsid w:val="005A7BE7"/>
    <w:rsid w:val="005B03FB"/>
    <w:rsid w:val="005B107C"/>
    <w:rsid w:val="005B23DA"/>
    <w:rsid w:val="005B2C00"/>
    <w:rsid w:val="005B2DD0"/>
    <w:rsid w:val="005B3ACE"/>
    <w:rsid w:val="005B5553"/>
    <w:rsid w:val="005B5B17"/>
    <w:rsid w:val="005B6556"/>
    <w:rsid w:val="005B776E"/>
    <w:rsid w:val="005C1960"/>
    <w:rsid w:val="005C1A53"/>
    <w:rsid w:val="005C1CB8"/>
    <w:rsid w:val="005C2232"/>
    <w:rsid w:val="005C272B"/>
    <w:rsid w:val="005C2960"/>
    <w:rsid w:val="005C3AA3"/>
    <w:rsid w:val="005C403B"/>
    <w:rsid w:val="005C5E90"/>
    <w:rsid w:val="005C7E4C"/>
    <w:rsid w:val="005C7F49"/>
    <w:rsid w:val="005D010C"/>
    <w:rsid w:val="005D224C"/>
    <w:rsid w:val="005D3CCA"/>
    <w:rsid w:val="005D534F"/>
    <w:rsid w:val="005D5BB3"/>
    <w:rsid w:val="005D6340"/>
    <w:rsid w:val="005D7028"/>
    <w:rsid w:val="005E081B"/>
    <w:rsid w:val="005E235F"/>
    <w:rsid w:val="005E2A19"/>
    <w:rsid w:val="005E3251"/>
    <w:rsid w:val="005E45B0"/>
    <w:rsid w:val="005E4A50"/>
    <w:rsid w:val="005E4DBB"/>
    <w:rsid w:val="005E51EE"/>
    <w:rsid w:val="005E5CB6"/>
    <w:rsid w:val="005E6828"/>
    <w:rsid w:val="005E6D8B"/>
    <w:rsid w:val="005F04C7"/>
    <w:rsid w:val="005F118C"/>
    <w:rsid w:val="005F12A9"/>
    <w:rsid w:val="005F23E6"/>
    <w:rsid w:val="005F28C7"/>
    <w:rsid w:val="005F3825"/>
    <w:rsid w:val="005F4C6C"/>
    <w:rsid w:val="005F6694"/>
    <w:rsid w:val="005F6A74"/>
    <w:rsid w:val="005F71DB"/>
    <w:rsid w:val="005F73A9"/>
    <w:rsid w:val="00600A23"/>
    <w:rsid w:val="00600D74"/>
    <w:rsid w:val="006018DD"/>
    <w:rsid w:val="00602186"/>
    <w:rsid w:val="006036B9"/>
    <w:rsid w:val="00603900"/>
    <w:rsid w:val="00605FAE"/>
    <w:rsid w:val="00610F66"/>
    <w:rsid w:val="006119B3"/>
    <w:rsid w:val="00612109"/>
    <w:rsid w:val="00612135"/>
    <w:rsid w:val="0061319E"/>
    <w:rsid w:val="00613A12"/>
    <w:rsid w:val="00613DE9"/>
    <w:rsid w:val="00615584"/>
    <w:rsid w:val="006162EF"/>
    <w:rsid w:val="00616BAF"/>
    <w:rsid w:val="00617C3F"/>
    <w:rsid w:val="00620FBD"/>
    <w:rsid w:val="00621384"/>
    <w:rsid w:val="00621C1E"/>
    <w:rsid w:val="00621DDC"/>
    <w:rsid w:val="00621EAE"/>
    <w:rsid w:val="00622AA3"/>
    <w:rsid w:val="00622D8C"/>
    <w:rsid w:val="006236C6"/>
    <w:rsid w:val="0062436F"/>
    <w:rsid w:val="00624928"/>
    <w:rsid w:val="00624A3F"/>
    <w:rsid w:val="00624D43"/>
    <w:rsid w:val="00626099"/>
    <w:rsid w:val="00626B35"/>
    <w:rsid w:val="00626B3C"/>
    <w:rsid w:val="00627ECD"/>
    <w:rsid w:val="00630B80"/>
    <w:rsid w:val="00632C12"/>
    <w:rsid w:val="0063306B"/>
    <w:rsid w:val="006336B0"/>
    <w:rsid w:val="0063394D"/>
    <w:rsid w:val="00635D98"/>
    <w:rsid w:val="00636429"/>
    <w:rsid w:val="00636CDC"/>
    <w:rsid w:val="00640329"/>
    <w:rsid w:val="00640DCF"/>
    <w:rsid w:val="00640E85"/>
    <w:rsid w:val="00641DEC"/>
    <w:rsid w:val="0064716B"/>
    <w:rsid w:val="0065078B"/>
    <w:rsid w:val="00651CA3"/>
    <w:rsid w:val="00652114"/>
    <w:rsid w:val="00652C61"/>
    <w:rsid w:val="00652DEA"/>
    <w:rsid w:val="006534B2"/>
    <w:rsid w:val="006537E5"/>
    <w:rsid w:val="0065390F"/>
    <w:rsid w:val="00657032"/>
    <w:rsid w:val="0065769E"/>
    <w:rsid w:val="00657EE5"/>
    <w:rsid w:val="006602B4"/>
    <w:rsid w:val="00660B52"/>
    <w:rsid w:val="006613E1"/>
    <w:rsid w:val="006619F7"/>
    <w:rsid w:val="00661FA3"/>
    <w:rsid w:val="006622E2"/>
    <w:rsid w:val="0066249D"/>
    <w:rsid w:val="00663325"/>
    <w:rsid w:val="0066355E"/>
    <w:rsid w:val="00664E03"/>
    <w:rsid w:val="00666023"/>
    <w:rsid w:val="00671AC3"/>
    <w:rsid w:val="00671B17"/>
    <w:rsid w:val="006731BB"/>
    <w:rsid w:val="0067344A"/>
    <w:rsid w:val="00673994"/>
    <w:rsid w:val="00674360"/>
    <w:rsid w:val="00674428"/>
    <w:rsid w:val="00675FE5"/>
    <w:rsid w:val="00677EB7"/>
    <w:rsid w:val="00680F19"/>
    <w:rsid w:val="00680F84"/>
    <w:rsid w:val="00682797"/>
    <w:rsid w:val="00682A83"/>
    <w:rsid w:val="00683F40"/>
    <w:rsid w:val="0068552C"/>
    <w:rsid w:val="00686937"/>
    <w:rsid w:val="00687AED"/>
    <w:rsid w:val="006903E3"/>
    <w:rsid w:val="006915AB"/>
    <w:rsid w:val="00691708"/>
    <w:rsid w:val="00692ADD"/>
    <w:rsid w:val="00693B4A"/>
    <w:rsid w:val="006964E7"/>
    <w:rsid w:val="00696DFB"/>
    <w:rsid w:val="00697B79"/>
    <w:rsid w:val="00697CC9"/>
    <w:rsid w:val="00697EFA"/>
    <w:rsid w:val="006A06A9"/>
    <w:rsid w:val="006A08F8"/>
    <w:rsid w:val="006A1CB3"/>
    <w:rsid w:val="006A223E"/>
    <w:rsid w:val="006A6728"/>
    <w:rsid w:val="006A67DD"/>
    <w:rsid w:val="006A7AC6"/>
    <w:rsid w:val="006A7D45"/>
    <w:rsid w:val="006B1BEA"/>
    <w:rsid w:val="006B1F6E"/>
    <w:rsid w:val="006B2AD2"/>
    <w:rsid w:val="006B30C6"/>
    <w:rsid w:val="006B4390"/>
    <w:rsid w:val="006B5334"/>
    <w:rsid w:val="006C2252"/>
    <w:rsid w:val="006C46ED"/>
    <w:rsid w:val="006C4DE7"/>
    <w:rsid w:val="006C4F79"/>
    <w:rsid w:val="006C69D0"/>
    <w:rsid w:val="006D21E3"/>
    <w:rsid w:val="006D2861"/>
    <w:rsid w:val="006D2E9F"/>
    <w:rsid w:val="006D3BFE"/>
    <w:rsid w:val="006D519C"/>
    <w:rsid w:val="006D5C67"/>
    <w:rsid w:val="006D6364"/>
    <w:rsid w:val="006D65DA"/>
    <w:rsid w:val="006D7C21"/>
    <w:rsid w:val="006D7FB7"/>
    <w:rsid w:val="006E0127"/>
    <w:rsid w:val="006E04B7"/>
    <w:rsid w:val="006E0717"/>
    <w:rsid w:val="006E0CE4"/>
    <w:rsid w:val="006E167A"/>
    <w:rsid w:val="006E2958"/>
    <w:rsid w:val="006E3683"/>
    <w:rsid w:val="006E3FF8"/>
    <w:rsid w:val="006E4048"/>
    <w:rsid w:val="006E4B0D"/>
    <w:rsid w:val="006E53D6"/>
    <w:rsid w:val="006E58A9"/>
    <w:rsid w:val="006E5E94"/>
    <w:rsid w:val="006E65CC"/>
    <w:rsid w:val="006E70E0"/>
    <w:rsid w:val="006F1AE0"/>
    <w:rsid w:val="006F1F91"/>
    <w:rsid w:val="006F5800"/>
    <w:rsid w:val="006F69BB"/>
    <w:rsid w:val="0070149C"/>
    <w:rsid w:val="00702021"/>
    <w:rsid w:val="00702165"/>
    <w:rsid w:val="00704A90"/>
    <w:rsid w:val="007050AC"/>
    <w:rsid w:val="00705468"/>
    <w:rsid w:val="007054DE"/>
    <w:rsid w:val="00705597"/>
    <w:rsid w:val="007057C9"/>
    <w:rsid w:val="00706408"/>
    <w:rsid w:val="007064F6"/>
    <w:rsid w:val="00706713"/>
    <w:rsid w:val="00706AEB"/>
    <w:rsid w:val="007101F0"/>
    <w:rsid w:val="007115A3"/>
    <w:rsid w:val="00713162"/>
    <w:rsid w:val="00713B8C"/>
    <w:rsid w:val="0071424A"/>
    <w:rsid w:val="0071787A"/>
    <w:rsid w:val="00720ADE"/>
    <w:rsid w:val="00721EB3"/>
    <w:rsid w:val="0072244C"/>
    <w:rsid w:val="0072559C"/>
    <w:rsid w:val="0072577E"/>
    <w:rsid w:val="00725CA1"/>
    <w:rsid w:val="00726287"/>
    <w:rsid w:val="00726504"/>
    <w:rsid w:val="00726693"/>
    <w:rsid w:val="00731BB4"/>
    <w:rsid w:val="00732294"/>
    <w:rsid w:val="00732FA5"/>
    <w:rsid w:val="0073369E"/>
    <w:rsid w:val="007337A2"/>
    <w:rsid w:val="00733AED"/>
    <w:rsid w:val="00733D2C"/>
    <w:rsid w:val="007343DD"/>
    <w:rsid w:val="00734D09"/>
    <w:rsid w:val="00735391"/>
    <w:rsid w:val="007357A2"/>
    <w:rsid w:val="0074040E"/>
    <w:rsid w:val="007407DC"/>
    <w:rsid w:val="00740BC3"/>
    <w:rsid w:val="00740C52"/>
    <w:rsid w:val="007417C6"/>
    <w:rsid w:val="007433BE"/>
    <w:rsid w:val="007434EB"/>
    <w:rsid w:val="00743785"/>
    <w:rsid w:val="00744409"/>
    <w:rsid w:val="00747677"/>
    <w:rsid w:val="00747944"/>
    <w:rsid w:val="0075029D"/>
    <w:rsid w:val="007508BB"/>
    <w:rsid w:val="0075202B"/>
    <w:rsid w:val="00752716"/>
    <w:rsid w:val="007529D1"/>
    <w:rsid w:val="00753150"/>
    <w:rsid w:val="007536B9"/>
    <w:rsid w:val="007542F4"/>
    <w:rsid w:val="007561DE"/>
    <w:rsid w:val="00757030"/>
    <w:rsid w:val="0075729A"/>
    <w:rsid w:val="007576E5"/>
    <w:rsid w:val="00757B7E"/>
    <w:rsid w:val="007601A4"/>
    <w:rsid w:val="00762840"/>
    <w:rsid w:val="00763D5E"/>
    <w:rsid w:val="00765EE9"/>
    <w:rsid w:val="00766061"/>
    <w:rsid w:val="0076608F"/>
    <w:rsid w:val="007660DC"/>
    <w:rsid w:val="0076644D"/>
    <w:rsid w:val="00766E10"/>
    <w:rsid w:val="00767DCD"/>
    <w:rsid w:val="00771E95"/>
    <w:rsid w:val="00774D76"/>
    <w:rsid w:val="00775961"/>
    <w:rsid w:val="00775CAB"/>
    <w:rsid w:val="0077658D"/>
    <w:rsid w:val="0077685A"/>
    <w:rsid w:val="00776F6A"/>
    <w:rsid w:val="00777125"/>
    <w:rsid w:val="0077754B"/>
    <w:rsid w:val="0077796E"/>
    <w:rsid w:val="00777CD9"/>
    <w:rsid w:val="00777D51"/>
    <w:rsid w:val="00782D30"/>
    <w:rsid w:val="007832E1"/>
    <w:rsid w:val="00786199"/>
    <w:rsid w:val="0078671E"/>
    <w:rsid w:val="00786D9B"/>
    <w:rsid w:val="00786F18"/>
    <w:rsid w:val="00787548"/>
    <w:rsid w:val="007909B8"/>
    <w:rsid w:val="007946B6"/>
    <w:rsid w:val="007970DB"/>
    <w:rsid w:val="0079771F"/>
    <w:rsid w:val="00797E71"/>
    <w:rsid w:val="007A0063"/>
    <w:rsid w:val="007A1BA1"/>
    <w:rsid w:val="007A2439"/>
    <w:rsid w:val="007A2473"/>
    <w:rsid w:val="007A3242"/>
    <w:rsid w:val="007A4792"/>
    <w:rsid w:val="007A56B9"/>
    <w:rsid w:val="007A5812"/>
    <w:rsid w:val="007A776C"/>
    <w:rsid w:val="007B1A73"/>
    <w:rsid w:val="007B2EBE"/>
    <w:rsid w:val="007B327C"/>
    <w:rsid w:val="007B426C"/>
    <w:rsid w:val="007B52ED"/>
    <w:rsid w:val="007B622F"/>
    <w:rsid w:val="007B686D"/>
    <w:rsid w:val="007B7CAC"/>
    <w:rsid w:val="007B7E86"/>
    <w:rsid w:val="007C04B2"/>
    <w:rsid w:val="007C0C08"/>
    <w:rsid w:val="007C0C0B"/>
    <w:rsid w:val="007C15A2"/>
    <w:rsid w:val="007C1935"/>
    <w:rsid w:val="007C19DD"/>
    <w:rsid w:val="007C23C3"/>
    <w:rsid w:val="007C2DC9"/>
    <w:rsid w:val="007C44B9"/>
    <w:rsid w:val="007C4704"/>
    <w:rsid w:val="007C4B6F"/>
    <w:rsid w:val="007C656A"/>
    <w:rsid w:val="007D0723"/>
    <w:rsid w:val="007D07AD"/>
    <w:rsid w:val="007D27C4"/>
    <w:rsid w:val="007D2E34"/>
    <w:rsid w:val="007D37E5"/>
    <w:rsid w:val="007D3EEB"/>
    <w:rsid w:val="007D40B2"/>
    <w:rsid w:val="007D4231"/>
    <w:rsid w:val="007E0762"/>
    <w:rsid w:val="007E0B73"/>
    <w:rsid w:val="007E118D"/>
    <w:rsid w:val="007E33C3"/>
    <w:rsid w:val="007E3E8F"/>
    <w:rsid w:val="007E48C0"/>
    <w:rsid w:val="007E5326"/>
    <w:rsid w:val="007E6957"/>
    <w:rsid w:val="007E6D64"/>
    <w:rsid w:val="007F1B25"/>
    <w:rsid w:val="007F1FF9"/>
    <w:rsid w:val="007F298D"/>
    <w:rsid w:val="007F3570"/>
    <w:rsid w:val="007F5311"/>
    <w:rsid w:val="007F55C8"/>
    <w:rsid w:val="007F6738"/>
    <w:rsid w:val="007F7D2C"/>
    <w:rsid w:val="007F7F2D"/>
    <w:rsid w:val="00801D19"/>
    <w:rsid w:val="0080204A"/>
    <w:rsid w:val="00803246"/>
    <w:rsid w:val="00804E22"/>
    <w:rsid w:val="00805EC7"/>
    <w:rsid w:val="00806087"/>
    <w:rsid w:val="00806B61"/>
    <w:rsid w:val="00807312"/>
    <w:rsid w:val="008102E0"/>
    <w:rsid w:val="008105EA"/>
    <w:rsid w:val="00811AE0"/>
    <w:rsid w:val="00811DDD"/>
    <w:rsid w:val="00812508"/>
    <w:rsid w:val="0081368D"/>
    <w:rsid w:val="008150AB"/>
    <w:rsid w:val="00816B99"/>
    <w:rsid w:val="00817527"/>
    <w:rsid w:val="00820EAA"/>
    <w:rsid w:val="008212E7"/>
    <w:rsid w:val="008222E2"/>
    <w:rsid w:val="00822493"/>
    <w:rsid w:val="008251EF"/>
    <w:rsid w:val="00826C7C"/>
    <w:rsid w:val="0082708E"/>
    <w:rsid w:val="00827962"/>
    <w:rsid w:val="008327FE"/>
    <w:rsid w:val="008331D5"/>
    <w:rsid w:val="008338CC"/>
    <w:rsid w:val="008338DA"/>
    <w:rsid w:val="008346FD"/>
    <w:rsid w:val="00834ADA"/>
    <w:rsid w:val="00834C11"/>
    <w:rsid w:val="00835372"/>
    <w:rsid w:val="00835439"/>
    <w:rsid w:val="008357C7"/>
    <w:rsid w:val="00835F3C"/>
    <w:rsid w:val="008368B4"/>
    <w:rsid w:val="00837FBF"/>
    <w:rsid w:val="00840E43"/>
    <w:rsid w:val="00842B63"/>
    <w:rsid w:val="00842D2C"/>
    <w:rsid w:val="00843738"/>
    <w:rsid w:val="00843BEB"/>
    <w:rsid w:val="00843D39"/>
    <w:rsid w:val="008440B0"/>
    <w:rsid w:val="0084440C"/>
    <w:rsid w:val="00846BBA"/>
    <w:rsid w:val="008472A7"/>
    <w:rsid w:val="008472E9"/>
    <w:rsid w:val="00847551"/>
    <w:rsid w:val="00850121"/>
    <w:rsid w:val="0085091E"/>
    <w:rsid w:val="0085095E"/>
    <w:rsid w:val="00850B39"/>
    <w:rsid w:val="008515C3"/>
    <w:rsid w:val="008519E2"/>
    <w:rsid w:val="00851E9C"/>
    <w:rsid w:val="00851EB6"/>
    <w:rsid w:val="008542A8"/>
    <w:rsid w:val="00855F32"/>
    <w:rsid w:val="008562F1"/>
    <w:rsid w:val="00857125"/>
    <w:rsid w:val="008605C8"/>
    <w:rsid w:val="00861468"/>
    <w:rsid w:val="0086289D"/>
    <w:rsid w:val="00863AF1"/>
    <w:rsid w:val="00864A37"/>
    <w:rsid w:val="00864B1A"/>
    <w:rsid w:val="00865557"/>
    <w:rsid w:val="00866775"/>
    <w:rsid w:val="00867B0D"/>
    <w:rsid w:val="00867D61"/>
    <w:rsid w:val="008717BE"/>
    <w:rsid w:val="008719F1"/>
    <w:rsid w:val="008723FE"/>
    <w:rsid w:val="0087469E"/>
    <w:rsid w:val="00874E02"/>
    <w:rsid w:val="00875105"/>
    <w:rsid w:val="008756C6"/>
    <w:rsid w:val="00877902"/>
    <w:rsid w:val="00880FD8"/>
    <w:rsid w:val="0088160C"/>
    <w:rsid w:val="008816F6"/>
    <w:rsid w:val="0088325A"/>
    <w:rsid w:val="008839E6"/>
    <w:rsid w:val="008842CD"/>
    <w:rsid w:val="00884D8C"/>
    <w:rsid w:val="00884EFA"/>
    <w:rsid w:val="0088589E"/>
    <w:rsid w:val="008865DC"/>
    <w:rsid w:val="0088683E"/>
    <w:rsid w:val="00886F0E"/>
    <w:rsid w:val="008879B7"/>
    <w:rsid w:val="0089008C"/>
    <w:rsid w:val="008900CA"/>
    <w:rsid w:val="008907AF"/>
    <w:rsid w:val="00890D7B"/>
    <w:rsid w:val="008919C0"/>
    <w:rsid w:val="008920DB"/>
    <w:rsid w:val="008923D7"/>
    <w:rsid w:val="00892565"/>
    <w:rsid w:val="0089443C"/>
    <w:rsid w:val="0089492A"/>
    <w:rsid w:val="0089616B"/>
    <w:rsid w:val="00896649"/>
    <w:rsid w:val="008979CC"/>
    <w:rsid w:val="008A0482"/>
    <w:rsid w:val="008A1146"/>
    <w:rsid w:val="008A1D34"/>
    <w:rsid w:val="008A38CF"/>
    <w:rsid w:val="008A3A00"/>
    <w:rsid w:val="008A3B53"/>
    <w:rsid w:val="008A492F"/>
    <w:rsid w:val="008A495B"/>
    <w:rsid w:val="008A6D19"/>
    <w:rsid w:val="008B04EA"/>
    <w:rsid w:val="008B0BC3"/>
    <w:rsid w:val="008B1721"/>
    <w:rsid w:val="008B2918"/>
    <w:rsid w:val="008B2B75"/>
    <w:rsid w:val="008B3819"/>
    <w:rsid w:val="008B45F1"/>
    <w:rsid w:val="008B4FA7"/>
    <w:rsid w:val="008B5529"/>
    <w:rsid w:val="008B5F6B"/>
    <w:rsid w:val="008B6099"/>
    <w:rsid w:val="008B7453"/>
    <w:rsid w:val="008C01CF"/>
    <w:rsid w:val="008C0A38"/>
    <w:rsid w:val="008C3240"/>
    <w:rsid w:val="008C3358"/>
    <w:rsid w:val="008C5A13"/>
    <w:rsid w:val="008C5B85"/>
    <w:rsid w:val="008C5D78"/>
    <w:rsid w:val="008C69F1"/>
    <w:rsid w:val="008C755D"/>
    <w:rsid w:val="008D002B"/>
    <w:rsid w:val="008D0958"/>
    <w:rsid w:val="008D23E5"/>
    <w:rsid w:val="008D3010"/>
    <w:rsid w:val="008D528B"/>
    <w:rsid w:val="008D6322"/>
    <w:rsid w:val="008E08BB"/>
    <w:rsid w:val="008E1266"/>
    <w:rsid w:val="008E1B30"/>
    <w:rsid w:val="008E2060"/>
    <w:rsid w:val="008E346D"/>
    <w:rsid w:val="008E35AC"/>
    <w:rsid w:val="008E69E3"/>
    <w:rsid w:val="008E6CAC"/>
    <w:rsid w:val="008F00D0"/>
    <w:rsid w:val="008F02BE"/>
    <w:rsid w:val="008F1DF2"/>
    <w:rsid w:val="008F21F8"/>
    <w:rsid w:val="008F2C6C"/>
    <w:rsid w:val="008F30ED"/>
    <w:rsid w:val="008F3B8F"/>
    <w:rsid w:val="008F3E28"/>
    <w:rsid w:val="008F4017"/>
    <w:rsid w:val="008F5A53"/>
    <w:rsid w:val="008F5BD1"/>
    <w:rsid w:val="008F6993"/>
    <w:rsid w:val="008F737F"/>
    <w:rsid w:val="00901B4C"/>
    <w:rsid w:val="00903B12"/>
    <w:rsid w:val="00904552"/>
    <w:rsid w:val="009057F9"/>
    <w:rsid w:val="00906424"/>
    <w:rsid w:val="00910558"/>
    <w:rsid w:val="00911F7C"/>
    <w:rsid w:val="0091461C"/>
    <w:rsid w:val="009177D4"/>
    <w:rsid w:val="009211A3"/>
    <w:rsid w:val="0092190A"/>
    <w:rsid w:val="00921C96"/>
    <w:rsid w:val="009227E3"/>
    <w:rsid w:val="009229DD"/>
    <w:rsid w:val="00922A1E"/>
    <w:rsid w:val="0092573B"/>
    <w:rsid w:val="00926352"/>
    <w:rsid w:val="00927534"/>
    <w:rsid w:val="009300AC"/>
    <w:rsid w:val="009307CA"/>
    <w:rsid w:val="009318A4"/>
    <w:rsid w:val="00934636"/>
    <w:rsid w:val="009349A6"/>
    <w:rsid w:val="00934B89"/>
    <w:rsid w:val="00934F87"/>
    <w:rsid w:val="0093582C"/>
    <w:rsid w:val="0093623F"/>
    <w:rsid w:val="00936B50"/>
    <w:rsid w:val="00937EA1"/>
    <w:rsid w:val="00941867"/>
    <w:rsid w:val="00941B91"/>
    <w:rsid w:val="00942D64"/>
    <w:rsid w:val="00943EC1"/>
    <w:rsid w:val="009448A7"/>
    <w:rsid w:val="00945884"/>
    <w:rsid w:val="00945D79"/>
    <w:rsid w:val="00946073"/>
    <w:rsid w:val="00946520"/>
    <w:rsid w:val="00950A70"/>
    <w:rsid w:val="009516B0"/>
    <w:rsid w:val="00953135"/>
    <w:rsid w:val="009540A8"/>
    <w:rsid w:val="00957974"/>
    <w:rsid w:val="00957FF5"/>
    <w:rsid w:val="009603F2"/>
    <w:rsid w:val="00960A90"/>
    <w:rsid w:val="009633A3"/>
    <w:rsid w:val="00963921"/>
    <w:rsid w:val="00963F8C"/>
    <w:rsid w:val="0096413C"/>
    <w:rsid w:val="00965596"/>
    <w:rsid w:val="00965690"/>
    <w:rsid w:val="009667D6"/>
    <w:rsid w:val="00966D61"/>
    <w:rsid w:val="00967AF7"/>
    <w:rsid w:val="009700E3"/>
    <w:rsid w:val="00971B8E"/>
    <w:rsid w:val="009727FA"/>
    <w:rsid w:val="0097320D"/>
    <w:rsid w:val="009732F4"/>
    <w:rsid w:val="00974179"/>
    <w:rsid w:val="00976A02"/>
    <w:rsid w:val="00976B6F"/>
    <w:rsid w:val="00976C8C"/>
    <w:rsid w:val="00976FE0"/>
    <w:rsid w:val="00977614"/>
    <w:rsid w:val="00980D80"/>
    <w:rsid w:val="00980EA2"/>
    <w:rsid w:val="00980F7A"/>
    <w:rsid w:val="0098127D"/>
    <w:rsid w:val="0098193C"/>
    <w:rsid w:val="00981D06"/>
    <w:rsid w:val="00981F6B"/>
    <w:rsid w:val="00982238"/>
    <w:rsid w:val="009830F8"/>
    <w:rsid w:val="00983112"/>
    <w:rsid w:val="00985075"/>
    <w:rsid w:val="00985A6E"/>
    <w:rsid w:val="00985D8C"/>
    <w:rsid w:val="00986628"/>
    <w:rsid w:val="00986FD3"/>
    <w:rsid w:val="00987ABE"/>
    <w:rsid w:val="00987D1E"/>
    <w:rsid w:val="00992872"/>
    <w:rsid w:val="00993AF4"/>
    <w:rsid w:val="0099401B"/>
    <w:rsid w:val="00995668"/>
    <w:rsid w:val="00997427"/>
    <w:rsid w:val="009974ED"/>
    <w:rsid w:val="0099793D"/>
    <w:rsid w:val="00997E1F"/>
    <w:rsid w:val="009A0725"/>
    <w:rsid w:val="009A27E7"/>
    <w:rsid w:val="009A2D2A"/>
    <w:rsid w:val="009A3221"/>
    <w:rsid w:val="009A58CB"/>
    <w:rsid w:val="009A62F3"/>
    <w:rsid w:val="009A6403"/>
    <w:rsid w:val="009A7761"/>
    <w:rsid w:val="009B07FF"/>
    <w:rsid w:val="009B0CEB"/>
    <w:rsid w:val="009B313A"/>
    <w:rsid w:val="009B3E9B"/>
    <w:rsid w:val="009B43C3"/>
    <w:rsid w:val="009B4942"/>
    <w:rsid w:val="009B5F6D"/>
    <w:rsid w:val="009B7E8E"/>
    <w:rsid w:val="009C1115"/>
    <w:rsid w:val="009C18FC"/>
    <w:rsid w:val="009C54C9"/>
    <w:rsid w:val="009C5FB9"/>
    <w:rsid w:val="009C6583"/>
    <w:rsid w:val="009C6E47"/>
    <w:rsid w:val="009C795D"/>
    <w:rsid w:val="009C7E73"/>
    <w:rsid w:val="009D09D0"/>
    <w:rsid w:val="009D185F"/>
    <w:rsid w:val="009D2299"/>
    <w:rsid w:val="009D29BB"/>
    <w:rsid w:val="009D3818"/>
    <w:rsid w:val="009D46EE"/>
    <w:rsid w:val="009D618C"/>
    <w:rsid w:val="009D7F0D"/>
    <w:rsid w:val="009E017C"/>
    <w:rsid w:val="009E12F0"/>
    <w:rsid w:val="009E1F92"/>
    <w:rsid w:val="009E40E1"/>
    <w:rsid w:val="009E4E04"/>
    <w:rsid w:val="009E65C5"/>
    <w:rsid w:val="009E6BC9"/>
    <w:rsid w:val="009E6EC8"/>
    <w:rsid w:val="009E7ECA"/>
    <w:rsid w:val="009F08D7"/>
    <w:rsid w:val="009F0DC8"/>
    <w:rsid w:val="009F24D8"/>
    <w:rsid w:val="009F4439"/>
    <w:rsid w:val="009F4919"/>
    <w:rsid w:val="009F4BC8"/>
    <w:rsid w:val="009F4E7E"/>
    <w:rsid w:val="009F50E7"/>
    <w:rsid w:val="009F5641"/>
    <w:rsid w:val="009F64D1"/>
    <w:rsid w:val="009F6894"/>
    <w:rsid w:val="009F7A98"/>
    <w:rsid w:val="00A00102"/>
    <w:rsid w:val="00A005AA"/>
    <w:rsid w:val="00A00828"/>
    <w:rsid w:val="00A008AA"/>
    <w:rsid w:val="00A00AE4"/>
    <w:rsid w:val="00A00C7A"/>
    <w:rsid w:val="00A00F8D"/>
    <w:rsid w:val="00A017D9"/>
    <w:rsid w:val="00A052D7"/>
    <w:rsid w:val="00A055F5"/>
    <w:rsid w:val="00A072B5"/>
    <w:rsid w:val="00A10153"/>
    <w:rsid w:val="00A107EF"/>
    <w:rsid w:val="00A116EC"/>
    <w:rsid w:val="00A11AAE"/>
    <w:rsid w:val="00A1229B"/>
    <w:rsid w:val="00A125E1"/>
    <w:rsid w:val="00A1278A"/>
    <w:rsid w:val="00A13984"/>
    <w:rsid w:val="00A13B0B"/>
    <w:rsid w:val="00A1416B"/>
    <w:rsid w:val="00A16032"/>
    <w:rsid w:val="00A16BAD"/>
    <w:rsid w:val="00A174CD"/>
    <w:rsid w:val="00A2217E"/>
    <w:rsid w:val="00A2253D"/>
    <w:rsid w:val="00A22661"/>
    <w:rsid w:val="00A2466D"/>
    <w:rsid w:val="00A2483F"/>
    <w:rsid w:val="00A24CC5"/>
    <w:rsid w:val="00A25102"/>
    <w:rsid w:val="00A2539C"/>
    <w:rsid w:val="00A25538"/>
    <w:rsid w:val="00A315AD"/>
    <w:rsid w:val="00A31739"/>
    <w:rsid w:val="00A318DA"/>
    <w:rsid w:val="00A31EBA"/>
    <w:rsid w:val="00A357BC"/>
    <w:rsid w:val="00A36C92"/>
    <w:rsid w:val="00A37A5B"/>
    <w:rsid w:val="00A41027"/>
    <w:rsid w:val="00A41915"/>
    <w:rsid w:val="00A42BAA"/>
    <w:rsid w:val="00A4420B"/>
    <w:rsid w:val="00A44CC3"/>
    <w:rsid w:val="00A451A3"/>
    <w:rsid w:val="00A45952"/>
    <w:rsid w:val="00A462AB"/>
    <w:rsid w:val="00A46E07"/>
    <w:rsid w:val="00A471A4"/>
    <w:rsid w:val="00A504E2"/>
    <w:rsid w:val="00A50AF0"/>
    <w:rsid w:val="00A50B7A"/>
    <w:rsid w:val="00A51B43"/>
    <w:rsid w:val="00A53BF3"/>
    <w:rsid w:val="00A54D7E"/>
    <w:rsid w:val="00A54E4E"/>
    <w:rsid w:val="00A55750"/>
    <w:rsid w:val="00A56F89"/>
    <w:rsid w:val="00A6031E"/>
    <w:rsid w:val="00A61289"/>
    <w:rsid w:val="00A630A8"/>
    <w:rsid w:val="00A632E2"/>
    <w:rsid w:val="00A63B5D"/>
    <w:rsid w:val="00A63EF3"/>
    <w:rsid w:val="00A6489F"/>
    <w:rsid w:val="00A6506B"/>
    <w:rsid w:val="00A65115"/>
    <w:rsid w:val="00A657B8"/>
    <w:rsid w:val="00A65A77"/>
    <w:rsid w:val="00A66B56"/>
    <w:rsid w:val="00A66BB1"/>
    <w:rsid w:val="00A67BEA"/>
    <w:rsid w:val="00A7033E"/>
    <w:rsid w:val="00A71665"/>
    <w:rsid w:val="00A724C7"/>
    <w:rsid w:val="00A7276B"/>
    <w:rsid w:val="00A73957"/>
    <w:rsid w:val="00A760E5"/>
    <w:rsid w:val="00A76AB3"/>
    <w:rsid w:val="00A76B48"/>
    <w:rsid w:val="00A7747C"/>
    <w:rsid w:val="00A8004D"/>
    <w:rsid w:val="00A80152"/>
    <w:rsid w:val="00A808FE"/>
    <w:rsid w:val="00A81FF5"/>
    <w:rsid w:val="00A82AF6"/>
    <w:rsid w:val="00A82C69"/>
    <w:rsid w:val="00A838F3"/>
    <w:rsid w:val="00A83CC2"/>
    <w:rsid w:val="00A8409C"/>
    <w:rsid w:val="00A846F1"/>
    <w:rsid w:val="00A84817"/>
    <w:rsid w:val="00A852B7"/>
    <w:rsid w:val="00A854CB"/>
    <w:rsid w:val="00A864F8"/>
    <w:rsid w:val="00A86732"/>
    <w:rsid w:val="00A86BEF"/>
    <w:rsid w:val="00A87019"/>
    <w:rsid w:val="00A870F0"/>
    <w:rsid w:val="00A876D2"/>
    <w:rsid w:val="00A915C3"/>
    <w:rsid w:val="00A91C6F"/>
    <w:rsid w:val="00A93439"/>
    <w:rsid w:val="00A95EE3"/>
    <w:rsid w:val="00A966CC"/>
    <w:rsid w:val="00A9674D"/>
    <w:rsid w:val="00A97ED4"/>
    <w:rsid w:val="00AA0D8C"/>
    <w:rsid w:val="00AA1BAF"/>
    <w:rsid w:val="00AA304A"/>
    <w:rsid w:val="00AA4F22"/>
    <w:rsid w:val="00AA4F2F"/>
    <w:rsid w:val="00AA52B4"/>
    <w:rsid w:val="00AA541E"/>
    <w:rsid w:val="00AA5933"/>
    <w:rsid w:val="00AA5EF7"/>
    <w:rsid w:val="00AA6272"/>
    <w:rsid w:val="00AB0896"/>
    <w:rsid w:val="00AB120D"/>
    <w:rsid w:val="00AB165E"/>
    <w:rsid w:val="00AB2A6B"/>
    <w:rsid w:val="00AB5019"/>
    <w:rsid w:val="00AB72C5"/>
    <w:rsid w:val="00AB7B95"/>
    <w:rsid w:val="00AC05E4"/>
    <w:rsid w:val="00AC31BA"/>
    <w:rsid w:val="00AC31CF"/>
    <w:rsid w:val="00AC3BFB"/>
    <w:rsid w:val="00AC43E3"/>
    <w:rsid w:val="00AC5482"/>
    <w:rsid w:val="00AC5BF0"/>
    <w:rsid w:val="00AC667E"/>
    <w:rsid w:val="00AC77DA"/>
    <w:rsid w:val="00AC792F"/>
    <w:rsid w:val="00AC79FC"/>
    <w:rsid w:val="00AC7B12"/>
    <w:rsid w:val="00AD15C0"/>
    <w:rsid w:val="00AD297C"/>
    <w:rsid w:val="00AD2D51"/>
    <w:rsid w:val="00AD4286"/>
    <w:rsid w:val="00AE21C6"/>
    <w:rsid w:val="00AE2BAD"/>
    <w:rsid w:val="00AE2CAE"/>
    <w:rsid w:val="00AE3096"/>
    <w:rsid w:val="00AE42E2"/>
    <w:rsid w:val="00AE5184"/>
    <w:rsid w:val="00AE6561"/>
    <w:rsid w:val="00AE7381"/>
    <w:rsid w:val="00AE76C1"/>
    <w:rsid w:val="00AF1EA3"/>
    <w:rsid w:val="00AF22FF"/>
    <w:rsid w:val="00AF2926"/>
    <w:rsid w:val="00AF31C7"/>
    <w:rsid w:val="00AF36AA"/>
    <w:rsid w:val="00AF3955"/>
    <w:rsid w:val="00AF4504"/>
    <w:rsid w:val="00AF51AA"/>
    <w:rsid w:val="00AF6687"/>
    <w:rsid w:val="00AF6A73"/>
    <w:rsid w:val="00AF72A1"/>
    <w:rsid w:val="00AF7704"/>
    <w:rsid w:val="00AF7D97"/>
    <w:rsid w:val="00B00557"/>
    <w:rsid w:val="00B00CBA"/>
    <w:rsid w:val="00B0209E"/>
    <w:rsid w:val="00B02511"/>
    <w:rsid w:val="00B030F0"/>
    <w:rsid w:val="00B05403"/>
    <w:rsid w:val="00B10DC0"/>
    <w:rsid w:val="00B11009"/>
    <w:rsid w:val="00B12E56"/>
    <w:rsid w:val="00B1440F"/>
    <w:rsid w:val="00B20152"/>
    <w:rsid w:val="00B201AF"/>
    <w:rsid w:val="00B203B7"/>
    <w:rsid w:val="00B21707"/>
    <w:rsid w:val="00B218F8"/>
    <w:rsid w:val="00B227E7"/>
    <w:rsid w:val="00B23526"/>
    <w:rsid w:val="00B239C6"/>
    <w:rsid w:val="00B23D28"/>
    <w:rsid w:val="00B247AE"/>
    <w:rsid w:val="00B248F8"/>
    <w:rsid w:val="00B24ADC"/>
    <w:rsid w:val="00B24EFD"/>
    <w:rsid w:val="00B31018"/>
    <w:rsid w:val="00B31703"/>
    <w:rsid w:val="00B31D2E"/>
    <w:rsid w:val="00B31D3F"/>
    <w:rsid w:val="00B325C1"/>
    <w:rsid w:val="00B326D1"/>
    <w:rsid w:val="00B32B34"/>
    <w:rsid w:val="00B3436E"/>
    <w:rsid w:val="00B34ABD"/>
    <w:rsid w:val="00B3646A"/>
    <w:rsid w:val="00B365EB"/>
    <w:rsid w:val="00B4055C"/>
    <w:rsid w:val="00B426FC"/>
    <w:rsid w:val="00B43DF4"/>
    <w:rsid w:val="00B44856"/>
    <w:rsid w:val="00B44D1B"/>
    <w:rsid w:val="00B4701C"/>
    <w:rsid w:val="00B478BB"/>
    <w:rsid w:val="00B50154"/>
    <w:rsid w:val="00B508D1"/>
    <w:rsid w:val="00B522A1"/>
    <w:rsid w:val="00B53337"/>
    <w:rsid w:val="00B53A94"/>
    <w:rsid w:val="00B53C49"/>
    <w:rsid w:val="00B54CB3"/>
    <w:rsid w:val="00B5523A"/>
    <w:rsid w:val="00B55241"/>
    <w:rsid w:val="00B56C01"/>
    <w:rsid w:val="00B56CA0"/>
    <w:rsid w:val="00B608B0"/>
    <w:rsid w:val="00B616AA"/>
    <w:rsid w:val="00B62013"/>
    <w:rsid w:val="00B6307E"/>
    <w:rsid w:val="00B63922"/>
    <w:rsid w:val="00B644CC"/>
    <w:rsid w:val="00B645C2"/>
    <w:rsid w:val="00B649D2"/>
    <w:rsid w:val="00B65622"/>
    <w:rsid w:val="00B66940"/>
    <w:rsid w:val="00B70709"/>
    <w:rsid w:val="00B70EC8"/>
    <w:rsid w:val="00B710FE"/>
    <w:rsid w:val="00B7126D"/>
    <w:rsid w:val="00B7154B"/>
    <w:rsid w:val="00B71F55"/>
    <w:rsid w:val="00B73110"/>
    <w:rsid w:val="00B74C64"/>
    <w:rsid w:val="00B756EF"/>
    <w:rsid w:val="00B76C6D"/>
    <w:rsid w:val="00B802BC"/>
    <w:rsid w:val="00B803D3"/>
    <w:rsid w:val="00B80A0E"/>
    <w:rsid w:val="00B80BF9"/>
    <w:rsid w:val="00B80D6C"/>
    <w:rsid w:val="00B80FDD"/>
    <w:rsid w:val="00B81AD2"/>
    <w:rsid w:val="00B822F5"/>
    <w:rsid w:val="00B82549"/>
    <w:rsid w:val="00B829D5"/>
    <w:rsid w:val="00B832FD"/>
    <w:rsid w:val="00B85C02"/>
    <w:rsid w:val="00B85E9E"/>
    <w:rsid w:val="00B8701D"/>
    <w:rsid w:val="00B87498"/>
    <w:rsid w:val="00B87A2D"/>
    <w:rsid w:val="00B87DB1"/>
    <w:rsid w:val="00B918BF"/>
    <w:rsid w:val="00B91A33"/>
    <w:rsid w:val="00B9227D"/>
    <w:rsid w:val="00B9254F"/>
    <w:rsid w:val="00B94A07"/>
    <w:rsid w:val="00B97936"/>
    <w:rsid w:val="00B97B35"/>
    <w:rsid w:val="00B97BF1"/>
    <w:rsid w:val="00B97E6A"/>
    <w:rsid w:val="00BA1E9C"/>
    <w:rsid w:val="00BA3D5B"/>
    <w:rsid w:val="00BA4150"/>
    <w:rsid w:val="00BA6656"/>
    <w:rsid w:val="00BA6780"/>
    <w:rsid w:val="00BA736F"/>
    <w:rsid w:val="00BA7DAA"/>
    <w:rsid w:val="00BB0594"/>
    <w:rsid w:val="00BB0DAC"/>
    <w:rsid w:val="00BB0E5A"/>
    <w:rsid w:val="00BB32BE"/>
    <w:rsid w:val="00BB35F3"/>
    <w:rsid w:val="00BB3733"/>
    <w:rsid w:val="00BB4FD1"/>
    <w:rsid w:val="00BB54AD"/>
    <w:rsid w:val="00BB7C48"/>
    <w:rsid w:val="00BC037E"/>
    <w:rsid w:val="00BC07CD"/>
    <w:rsid w:val="00BC0EB6"/>
    <w:rsid w:val="00BC1985"/>
    <w:rsid w:val="00BC1A0F"/>
    <w:rsid w:val="00BC1FA6"/>
    <w:rsid w:val="00BC2337"/>
    <w:rsid w:val="00BC30E4"/>
    <w:rsid w:val="00BC3C3B"/>
    <w:rsid w:val="00BC41F2"/>
    <w:rsid w:val="00BC4443"/>
    <w:rsid w:val="00BC45B1"/>
    <w:rsid w:val="00BC61B6"/>
    <w:rsid w:val="00BC61F6"/>
    <w:rsid w:val="00BC7210"/>
    <w:rsid w:val="00BD0F0F"/>
    <w:rsid w:val="00BD1DB3"/>
    <w:rsid w:val="00BD283E"/>
    <w:rsid w:val="00BD29DD"/>
    <w:rsid w:val="00BD41CC"/>
    <w:rsid w:val="00BD4625"/>
    <w:rsid w:val="00BD4FE6"/>
    <w:rsid w:val="00BD514E"/>
    <w:rsid w:val="00BD54CB"/>
    <w:rsid w:val="00BD5D8A"/>
    <w:rsid w:val="00BD5DDD"/>
    <w:rsid w:val="00BD5EA9"/>
    <w:rsid w:val="00BD6ADC"/>
    <w:rsid w:val="00BD6BFE"/>
    <w:rsid w:val="00BD735E"/>
    <w:rsid w:val="00BD7705"/>
    <w:rsid w:val="00BE0019"/>
    <w:rsid w:val="00BE0351"/>
    <w:rsid w:val="00BE091A"/>
    <w:rsid w:val="00BE0EFE"/>
    <w:rsid w:val="00BE338E"/>
    <w:rsid w:val="00BE43A1"/>
    <w:rsid w:val="00BE4468"/>
    <w:rsid w:val="00BE5283"/>
    <w:rsid w:val="00BE5B0A"/>
    <w:rsid w:val="00BE5D67"/>
    <w:rsid w:val="00BE604A"/>
    <w:rsid w:val="00BF0873"/>
    <w:rsid w:val="00BF124A"/>
    <w:rsid w:val="00BF3277"/>
    <w:rsid w:val="00BF43AD"/>
    <w:rsid w:val="00BF445C"/>
    <w:rsid w:val="00BF592B"/>
    <w:rsid w:val="00BF5A39"/>
    <w:rsid w:val="00BF5C4C"/>
    <w:rsid w:val="00BF6C85"/>
    <w:rsid w:val="00C006EF"/>
    <w:rsid w:val="00C03BA8"/>
    <w:rsid w:val="00C04318"/>
    <w:rsid w:val="00C04A58"/>
    <w:rsid w:val="00C04B93"/>
    <w:rsid w:val="00C060BD"/>
    <w:rsid w:val="00C06C2A"/>
    <w:rsid w:val="00C06DE0"/>
    <w:rsid w:val="00C0760E"/>
    <w:rsid w:val="00C07A03"/>
    <w:rsid w:val="00C11089"/>
    <w:rsid w:val="00C110FF"/>
    <w:rsid w:val="00C11271"/>
    <w:rsid w:val="00C1179B"/>
    <w:rsid w:val="00C127ED"/>
    <w:rsid w:val="00C12C95"/>
    <w:rsid w:val="00C13826"/>
    <w:rsid w:val="00C14343"/>
    <w:rsid w:val="00C1487B"/>
    <w:rsid w:val="00C154B0"/>
    <w:rsid w:val="00C170DE"/>
    <w:rsid w:val="00C17992"/>
    <w:rsid w:val="00C20615"/>
    <w:rsid w:val="00C21034"/>
    <w:rsid w:val="00C21532"/>
    <w:rsid w:val="00C2284B"/>
    <w:rsid w:val="00C23C54"/>
    <w:rsid w:val="00C24A81"/>
    <w:rsid w:val="00C24D7E"/>
    <w:rsid w:val="00C264BC"/>
    <w:rsid w:val="00C268CB"/>
    <w:rsid w:val="00C27187"/>
    <w:rsid w:val="00C279C7"/>
    <w:rsid w:val="00C32F73"/>
    <w:rsid w:val="00C33A3E"/>
    <w:rsid w:val="00C34CE8"/>
    <w:rsid w:val="00C35338"/>
    <w:rsid w:val="00C353FB"/>
    <w:rsid w:val="00C35CD5"/>
    <w:rsid w:val="00C35DA4"/>
    <w:rsid w:val="00C3774B"/>
    <w:rsid w:val="00C401BC"/>
    <w:rsid w:val="00C4087E"/>
    <w:rsid w:val="00C408F6"/>
    <w:rsid w:val="00C4173E"/>
    <w:rsid w:val="00C41B4C"/>
    <w:rsid w:val="00C42404"/>
    <w:rsid w:val="00C4355B"/>
    <w:rsid w:val="00C448A3"/>
    <w:rsid w:val="00C45137"/>
    <w:rsid w:val="00C46F04"/>
    <w:rsid w:val="00C5181F"/>
    <w:rsid w:val="00C5370F"/>
    <w:rsid w:val="00C54742"/>
    <w:rsid w:val="00C551AC"/>
    <w:rsid w:val="00C55EC2"/>
    <w:rsid w:val="00C56D2E"/>
    <w:rsid w:val="00C57A67"/>
    <w:rsid w:val="00C57F62"/>
    <w:rsid w:val="00C60608"/>
    <w:rsid w:val="00C609A2"/>
    <w:rsid w:val="00C60D18"/>
    <w:rsid w:val="00C60F03"/>
    <w:rsid w:val="00C6181F"/>
    <w:rsid w:val="00C61A22"/>
    <w:rsid w:val="00C62522"/>
    <w:rsid w:val="00C63212"/>
    <w:rsid w:val="00C63328"/>
    <w:rsid w:val="00C636F6"/>
    <w:rsid w:val="00C63B4D"/>
    <w:rsid w:val="00C64A57"/>
    <w:rsid w:val="00C70D2C"/>
    <w:rsid w:val="00C7140E"/>
    <w:rsid w:val="00C71E33"/>
    <w:rsid w:val="00C729F4"/>
    <w:rsid w:val="00C73784"/>
    <w:rsid w:val="00C73BF1"/>
    <w:rsid w:val="00C74F6A"/>
    <w:rsid w:val="00C75167"/>
    <w:rsid w:val="00C75E7F"/>
    <w:rsid w:val="00C76C63"/>
    <w:rsid w:val="00C76F1E"/>
    <w:rsid w:val="00C771A7"/>
    <w:rsid w:val="00C81DB4"/>
    <w:rsid w:val="00C82997"/>
    <w:rsid w:val="00C82CF7"/>
    <w:rsid w:val="00C8315C"/>
    <w:rsid w:val="00C83252"/>
    <w:rsid w:val="00C835B1"/>
    <w:rsid w:val="00C8502E"/>
    <w:rsid w:val="00C855E2"/>
    <w:rsid w:val="00C85AB7"/>
    <w:rsid w:val="00C86575"/>
    <w:rsid w:val="00C86992"/>
    <w:rsid w:val="00C904F0"/>
    <w:rsid w:val="00C912EE"/>
    <w:rsid w:val="00C91B26"/>
    <w:rsid w:val="00C93386"/>
    <w:rsid w:val="00C937A5"/>
    <w:rsid w:val="00C94A74"/>
    <w:rsid w:val="00C954DF"/>
    <w:rsid w:val="00C9741C"/>
    <w:rsid w:val="00C975D0"/>
    <w:rsid w:val="00CA0712"/>
    <w:rsid w:val="00CA1E68"/>
    <w:rsid w:val="00CA23A6"/>
    <w:rsid w:val="00CA3B53"/>
    <w:rsid w:val="00CA41B7"/>
    <w:rsid w:val="00CA48D0"/>
    <w:rsid w:val="00CA4ACF"/>
    <w:rsid w:val="00CA56CF"/>
    <w:rsid w:val="00CA5ED5"/>
    <w:rsid w:val="00CA66B3"/>
    <w:rsid w:val="00CA71C6"/>
    <w:rsid w:val="00CA7760"/>
    <w:rsid w:val="00CB080D"/>
    <w:rsid w:val="00CB08A5"/>
    <w:rsid w:val="00CB1778"/>
    <w:rsid w:val="00CB30E1"/>
    <w:rsid w:val="00CB3C43"/>
    <w:rsid w:val="00CB4D2C"/>
    <w:rsid w:val="00CB51DB"/>
    <w:rsid w:val="00CB5E8C"/>
    <w:rsid w:val="00CC0565"/>
    <w:rsid w:val="00CC1133"/>
    <w:rsid w:val="00CC1402"/>
    <w:rsid w:val="00CC1A12"/>
    <w:rsid w:val="00CC1E01"/>
    <w:rsid w:val="00CC1FCC"/>
    <w:rsid w:val="00CC30E8"/>
    <w:rsid w:val="00CC372A"/>
    <w:rsid w:val="00CC3BA5"/>
    <w:rsid w:val="00CC3FBA"/>
    <w:rsid w:val="00CC3FD7"/>
    <w:rsid w:val="00CC4412"/>
    <w:rsid w:val="00CC4A0B"/>
    <w:rsid w:val="00CC5881"/>
    <w:rsid w:val="00CC5AC7"/>
    <w:rsid w:val="00CC6519"/>
    <w:rsid w:val="00CC6FA4"/>
    <w:rsid w:val="00CD0544"/>
    <w:rsid w:val="00CD09D8"/>
    <w:rsid w:val="00CD1298"/>
    <w:rsid w:val="00CD1C76"/>
    <w:rsid w:val="00CD3E88"/>
    <w:rsid w:val="00CD4314"/>
    <w:rsid w:val="00CD4ABD"/>
    <w:rsid w:val="00CD4DD8"/>
    <w:rsid w:val="00CD696A"/>
    <w:rsid w:val="00CE2A8B"/>
    <w:rsid w:val="00CE2AA1"/>
    <w:rsid w:val="00CE3302"/>
    <w:rsid w:val="00CE3C8F"/>
    <w:rsid w:val="00CE3D2A"/>
    <w:rsid w:val="00CE424C"/>
    <w:rsid w:val="00CE4EC4"/>
    <w:rsid w:val="00CE5CD0"/>
    <w:rsid w:val="00CE5DF5"/>
    <w:rsid w:val="00CE6400"/>
    <w:rsid w:val="00CE6646"/>
    <w:rsid w:val="00CE6D44"/>
    <w:rsid w:val="00CF00FA"/>
    <w:rsid w:val="00CF1B13"/>
    <w:rsid w:val="00CF1BBC"/>
    <w:rsid w:val="00CF1E63"/>
    <w:rsid w:val="00CF1EBB"/>
    <w:rsid w:val="00CF2573"/>
    <w:rsid w:val="00CF2D10"/>
    <w:rsid w:val="00CF302E"/>
    <w:rsid w:val="00CF3E39"/>
    <w:rsid w:val="00CF4679"/>
    <w:rsid w:val="00CF6521"/>
    <w:rsid w:val="00CF6766"/>
    <w:rsid w:val="00CF7125"/>
    <w:rsid w:val="00CF79C7"/>
    <w:rsid w:val="00CF7D9B"/>
    <w:rsid w:val="00D009E7"/>
    <w:rsid w:val="00D01904"/>
    <w:rsid w:val="00D01DF7"/>
    <w:rsid w:val="00D035BB"/>
    <w:rsid w:val="00D03EE1"/>
    <w:rsid w:val="00D04830"/>
    <w:rsid w:val="00D05E8E"/>
    <w:rsid w:val="00D0623E"/>
    <w:rsid w:val="00D06D2F"/>
    <w:rsid w:val="00D07251"/>
    <w:rsid w:val="00D11061"/>
    <w:rsid w:val="00D124B2"/>
    <w:rsid w:val="00D12569"/>
    <w:rsid w:val="00D12D1D"/>
    <w:rsid w:val="00D12FC1"/>
    <w:rsid w:val="00D141B0"/>
    <w:rsid w:val="00D14866"/>
    <w:rsid w:val="00D14B83"/>
    <w:rsid w:val="00D20FE3"/>
    <w:rsid w:val="00D21853"/>
    <w:rsid w:val="00D219C1"/>
    <w:rsid w:val="00D22591"/>
    <w:rsid w:val="00D22B2B"/>
    <w:rsid w:val="00D22E30"/>
    <w:rsid w:val="00D23991"/>
    <w:rsid w:val="00D24DD1"/>
    <w:rsid w:val="00D25B3D"/>
    <w:rsid w:val="00D25D13"/>
    <w:rsid w:val="00D26923"/>
    <w:rsid w:val="00D30BB2"/>
    <w:rsid w:val="00D31F7B"/>
    <w:rsid w:val="00D3274F"/>
    <w:rsid w:val="00D32CF7"/>
    <w:rsid w:val="00D3339C"/>
    <w:rsid w:val="00D3401F"/>
    <w:rsid w:val="00D345F6"/>
    <w:rsid w:val="00D36597"/>
    <w:rsid w:val="00D3724A"/>
    <w:rsid w:val="00D3769C"/>
    <w:rsid w:val="00D37B6F"/>
    <w:rsid w:val="00D40DCE"/>
    <w:rsid w:val="00D41282"/>
    <w:rsid w:val="00D42AF6"/>
    <w:rsid w:val="00D42DBB"/>
    <w:rsid w:val="00D438E7"/>
    <w:rsid w:val="00D43A26"/>
    <w:rsid w:val="00D43CDA"/>
    <w:rsid w:val="00D43EF3"/>
    <w:rsid w:val="00D45869"/>
    <w:rsid w:val="00D4709F"/>
    <w:rsid w:val="00D50337"/>
    <w:rsid w:val="00D51FDE"/>
    <w:rsid w:val="00D52212"/>
    <w:rsid w:val="00D529AC"/>
    <w:rsid w:val="00D53F8A"/>
    <w:rsid w:val="00D555DF"/>
    <w:rsid w:val="00D561F8"/>
    <w:rsid w:val="00D56592"/>
    <w:rsid w:val="00D569EF"/>
    <w:rsid w:val="00D56A6A"/>
    <w:rsid w:val="00D56DF1"/>
    <w:rsid w:val="00D5723C"/>
    <w:rsid w:val="00D60E12"/>
    <w:rsid w:val="00D6264C"/>
    <w:rsid w:val="00D64632"/>
    <w:rsid w:val="00D657F5"/>
    <w:rsid w:val="00D6607F"/>
    <w:rsid w:val="00D66653"/>
    <w:rsid w:val="00D67A36"/>
    <w:rsid w:val="00D67B05"/>
    <w:rsid w:val="00D71AAC"/>
    <w:rsid w:val="00D736E1"/>
    <w:rsid w:val="00D76198"/>
    <w:rsid w:val="00D77197"/>
    <w:rsid w:val="00D77332"/>
    <w:rsid w:val="00D8064E"/>
    <w:rsid w:val="00D815EE"/>
    <w:rsid w:val="00D8269A"/>
    <w:rsid w:val="00D846D1"/>
    <w:rsid w:val="00D84F84"/>
    <w:rsid w:val="00D85450"/>
    <w:rsid w:val="00D85FD0"/>
    <w:rsid w:val="00D860EA"/>
    <w:rsid w:val="00D8676B"/>
    <w:rsid w:val="00D9243B"/>
    <w:rsid w:val="00D9303D"/>
    <w:rsid w:val="00D93770"/>
    <w:rsid w:val="00D93AA5"/>
    <w:rsid w:val="00D93B24"/>
    <w:rsid w:val="00D94722"/>
    <w:rsid w:val="00D94F25"/>
    <w:rsid w:val="00D95A20"/>
    <w:rsid w:val="00D95B25"/>
    <w:rsid w:val="00D96672"/>
    <w:rsid w:val="00D9754D"/>
    <w:rsid w:val="00D97813"/>
    <w:rsid w:val="00D97CAF"/>
    <w:rsid w:val="00DA0826"/>
    <w:rsid w:val="00DA2CFB"/>
    <w:rsid w:val="00DA579B"/>
    <w:rsid w:val="00DA60EE"/>
    <w:rsid w:val="00DA6129"/>
    <w:rsid w:val="00DA6784"/>
    <w:rsid w:val="00DA6E97"/>
    <w:rsid w:val="00DB335E"/>
    <w:rsid w:val="00DB3C35"/>
    <w:rsid w:val="00DB407A"/>
    <w:rsid w:val="00DB433F"/>
    <w:rsid w:val="00DB4A4F"/>
    <w:rsid w:val="00DB4BA4"/>
    <w:rsid w:val="00DB7C53"/>
    <w:rsid w:val="00DC10F7"/>
    <w:rsid w:val="00DC175B"/>
    <w:rsid w:val="00DC1938"/>
    <w:rsid w:val="00DC1EE1"/>
    <w:rsid w:val="00DC23CF"/>
    <w:rsid w:val="00DC4192"/>
    <w:rsid w:val="00DC632E"/>
    <w:rsid w:val="00DC73EA"/>
    <w:rsid w:val="00DD06DD"/>
    <w:rsid w:val="00DD09A2"/>
    <w:rsid w:val="00DD3599"/>
    <w:rsid w:val="00DD39FB"/>
    <w:rsid w:val="00DD5101"/>
    <w:rsid w:val="00DD572E"/>
    <w:rsid w:val="00DD58E2"/>
    <w:rsid w:val="00DD5ABE"/>
    <w:rsid w:val="00DD5F6D"/>
    <w:rsid w:val="00DD6927"/>
    <w:rsid w:val="00DD7378"/>
    <w:rsid w:val="00DD79DA"/>
    <w:rsid w:val="00DD7C49"/>
    <w:rsid w:val="00DE035A"/>
    <w:rsid w:val="00DE0A7A"/>
    <w:rsid w:val="00DE0B7B"/>
    <w:rsid w:val="00DE1813"/>
    <w:rsid w:val="00DE2DC0"/>
    <w:rsid w:val="00DE3879"/>
    <w:rsid w:val="00DE41FA"/>
    <w:rsid w:val="00DE4311"/>
    <w:rsid w:val="00DE4DAB"/>
    <w:rsid w:val="00DE4DFD"/>
    <w:rsid w:val="00DE559A"/>
    <w:rsid w:val="00DE5DDB"/>
    <w:rsid w:val="00DE7197"/>
    <w:rsid w:val="00DE7298"/>
    <w:rsid w:val="00DE7B06"/>
    <w:rsid w:val="00DE7F20"/>
    <w:rsid w:val="00DF0478"/>
    <w:rsid w:val="00DF059C"/>
    <w:rsid w:val="00DF2C9A"/>
    <w:rsid w:val="00DF2D66"/>
    <w:rsid w:val="00DF56C4"/>
    <w:rsid w:val="00DF59DA"/>
    <w:rsid w:val="00DF5A6D"/>
    <w:rsid w:val="00DF5D98"/>
    <w:rsid w:val="00DF692D"/>
    <w:rsid w:val="00DF7B2A"/>
    <w:rsid w:val="00E0191D"/>
    <w:rsid w:val="00E01CB7"/>
    <w:rsid w:val="00E021C1"/>
    <w:rsid w:val="00E02941"/>
    <w:rsid w:val="00E02FC8"/>
    <w:rsid w:val="00E02FDD"/>
    <w:rsid w:val="00E04407"/>
    <w:rsid w:val="00E0473F"/>
    <w:rsid w:val="00E04F07"/>
    <w:rsid w:val="00E0647A"/>
    <w:rsid w:val="00E06C31"/>
    <w:rsid w:val="00E06E0E"/>
    <w:rsid w:val="00E0749F"/>
    <w:rsid w:val="00E0768D"/>
    <w:rsid w:val="00E11D6E"/>
    <w:rsid w:val="00E134C8"/>
    <w:rsid w:val="00E13F69"/>
    <w:rsid w:val="00E1418E"/>
    <w:rsid w:val="00E1558E"/>
    <w:rsid w:val="00E16903"/>
    <w:rsid w:val="00E24A51"/>
    <w:rsid w:val="00E25C29"/>
    <w:rsid w:val="00E26A1B"/>
    <w:rsid w:val="00E26FC7"/>
    <w:rsid w:val="00E278BD"/>
    <w:rsid w:val="00E31D72"/>
    <w:rsid w:val="00E33B7D"/>
    <w:rsid w:val="00E33E9F"/>
    <w:rsid w:val="00E34A54"/>
    <w:rsid w:val="00E34E2E"/>
    <w:rsid w:val="00E3599F"/>
    <w:rsid w:val="00E364C2"/>
    <w:rsid w:val="00E371B0"/>
    <w:rsid w:val="00E42D76"/>
    <w:rsid w:val="00E431B3"/>
    <w:rsid w:val="00E43F4A"/>
    <w:rsid w:val="00E45148"/>
    <w:rsid w:val="00E46320"/>
    <w:rsid w:val="00E47993"/>
    <w:rsid w:val="00E47FC2"/>
    <w:rsid w:val="00E5106D"/>
    <w:rsid w:val="00E513CA"/>
    <w:rsid w:val="00E51F8F"/>
    <w:rsid w:val="00E52744"/>
    <w:rsid w:val="00E52E15"/>
    <w:rsid w:val="00E52F20"/>
    <w:rsid w:val="00E54624"/>
    <w:rsid w:val="00E55102"/>
    <w:rsid w:val="00E55ED9"/>
    <w:rsid w:val="00E56061"/>
    <w:rsid w:val="00E56593"/>
    <w:rsid w:val="00E56A0A"/>
    <w:rsid w:val="00E56FB4"/>
    <w:rsid w:val="00E57425"/>
    <w:rsid w:val="00E5773B"/>
    <w:rsid w:val="00E57FF4"/>
    <w:rsid w:val="00E62130"/>
    <w:rsid w:val="00E63EA7"/>
    <w:rsid w:val="00E65050"/>
    <w:rsid w:val="00E656CE"/>
    <w:rsid w:val="00E65C3D"/>
    <w:rsid w:val="00E65F73"/>
    <w:rsid w:val="00E66825"/>
    <w:rsid w:val="00E6772E"/>
    <w:rsid w:val="00E67B90"/>
    <w:rsid w:val="00E725C7"/>
    <w:rsid w:val="00E72E23"/>
    <w:rsid w:val="00E74F16"/>
    <w:rsid w:val="00E75C92"/>
    <w:rsid w:val="00E76104"/>
    <w:rsid w:val="00E77DDC"/>
    <w:rsid w:val="00E80247"/>
    <w:rsid w:val="00E8047D"/>
    <w:rsid w:val="00E81265"/>
    <w:rsid w:val="00E829A4"/>
    <w:rsid w:val="00E85071"/>
    <w:rsid w:val="00E90D7B"/>
    <w:rsid w:val="00E9209F"/>
    <w:rsid w:val="00E92EB8"/>
    <w:rsid w:val="00E93018"/>
    <w:rsid w:val="00E95322"/>
    <w:rsid w:val="00E96B6E"/>
    <w:rsid w:val="00E96D33"/>
    <w:rsid w:val="00E97A68"/>
    <w:rsid w:val="00E97F28"/>
    <w:rsid w:val="00EA056A"/>
    <w:rsid w:val="00EA0F1A"/>
    <w:rsid w:val="00EA1601"/>
    <w:rsid w:val="00EA24A5"/>
    <w:rsid w:val="00EA2DDF"/>
    <w:rsid w:val="00EA410B"/>
    <w:rsid w:val="00EA4355"/>
    <w:rsid w:val="00EA51DC"/>
    <w:rsid w:val="00EA54FB"/>
    <w:rsid w:val="00EA60FD"/>
    <w:rsid w:val="00EA619A"/>
    <w:rsid w:val="00EA65CA"/>
    <w:rsid w:val="00EA7FA5"/>
    <w:rsid w:val="00EB062B"/>
    <w:rsid w:val="00EB08C0"/>
    <w:rsid w:val="00EB0AF9"/>
    <w:rsid w:val="00EB14BA"/>
    <w:rsid w:val="00EB3137"/>
    <w:rsid w:val="00EC0653"/>
    <w:rsid w:val="00EC23E7"/>
    <w:rsid w:val="00EC385B"/>
    <w:rsid w:val="00EC402F"/>
    <w:rsid w:val="00EC4499"/>
    <w:rsid w:val="00EC4FB7"/>
    <w:rsid w:val="00EC6291"/>
    <w:rsid w:val="00EC654B"/>
    <w:rsid w:val="00ED07F5"/>
    <w:rsid w:val="00ED1C96"/>
    <w:rsid w:val="00ED25A1"/>
    <w:rsid w:val="00ED33C0"/>
    <w:rsid w:val="00ED40DA"/>
    <w:rsid w:val="00ED61D8"/>
    <w:rsid w:val="00ED6B6B"/>
    <w:rsid w:val="00ED6CF3"/>
    <w:rsid w:val="00ED6FCD"/>
    <w:rsid w:val="00ED7B2F"/>
    <w:rsid w:val="00EE15E4"/>
    <w:rsid w:val="00EE20C8"/>
    <w:rsid w:val="00EE2735"/>
    <w:rsid w:val="00EE34D3"/>
    <w:rsid w:val="00EE3A22"/>
    <w:rsid w:val="00EE500D"/>
    <w:rsid w:val="00EE5D28"/>
    <w:rsid w:val="00EE6451"/>
    <w:rsid w:val="00EE768B"/>
    <w:rsid w:val="00EF0D7E"/>
    <w:rsid w:val="00EF0D80"/>
    <w:rsid w:val="00EF14C0"/>
    <w:rsid w:val="00EF383B"/>
    <w:rsid w:val="00EF414A"/>
    <w:rsid w:val="00EF508C"/>
    <w:rsid w:val="00EF60D1"/>
    <w:rsid w:val="00EF6D29"/>
    <w:rsid w:val="00F00566"/>
    <w:rsid w:val="00F00891"/>
    <w:rsid w:val="00F032C9"/>
    <w:rsid w:val="00F0350B"/>
    <w:rsid w:val="00F035A2"/>
    <w:rsid w:val="00F0480E"/>
    <w:rsid w:val="00F0552C"/>
    <w:rsid w:val="00F06262"/>
    <w:rsid w:val="00F106D3"/>
    <w:rsid w:val="00F10FA8"/>
    <w:rsid w:val="00F124F6"/>
    <w:rsid w:val="00F12721"/>
    <w:rsid w:val="00F143FD"/>
    <w:rsid w:val="00F15B0C"/>
    <w:rsid w:val="00F15D08"/>
    <w:rsid w:val="00F15E95"/>
    <w:rsid w:val="00F21CA4"/>
    <w:rsid w:val="00F230BD"/>
    <w:rsid w:val="00F23A35"/>
    <w:rsid w:val="00F23D08"/>
    <w:rsid w:val="00F2436D"/>
    <w:rsid w:val="00F25214"/>
    <w:rsid w:val="00F25C68"/>
    <w:rsid w:val="00F25E36"/>
    <w:rsid w:val="00F26662"/>
    <w:rsid w:val="00F2755C"/>
    <w:rsid w:val="00F300DC"/>
    <w:rsid w:val="00F31273"/>
    <w:rsid w:val="00F312D0"/>
    <w:rsid w:val="00F317D8"/>
    <w:rsid w:val="00F3364B"/>
    <w:rsid w:val="00F3399C"/>
    <w:rsid w:val="00F340E9"/>
    <w:rsid w:val="00F34796"/>
    <w:rsid w:val="00F34D98"/>
    <w:rsid w:val="00F357ED"/>
    <w:rsid w:val="00F364E6"/>
    <w:rsid w:val="00F37D3D"/>
    <w:rsid w:val="00F37D9B"/>
    <w:rsid w:val="00F37DBC"/>
    <w:rsid w:val="00F4026B"/>
    <w:rsid w:val="00F412B7"/>
    <w:rsid w:val="00F4163C"/>
    <w:rsid w:val="00F41B85"/>
    <w:rsid w:val="00F445E9"/>
    <w:rsid w:val="00F448B0"/>
    <w:rsid w:val="00F45B3B"/>
    <w:rsid w:val="00F46F48"/>
    <w:rsid w:val="00F50B71"/>
    <w:rsid w:val="00F521C9"/>
    <w:rsid w:val="00F5276C"/>
    <w:rsid w:val="00F5280D"/>
    <w:rsid w:val="00F52C53"/>
    <w:rsid w:val="00F53C09"/>
    <w:rsid w:val="00F5494E"/>
    <w:rsid w:val="00F54A8C"/>
    <w:rsid w:val="00F5528F"/>
    <w:rsid w:val="00F560F4"/>
    <w:rsid w:val="00F570E1"/>
    <w:rsid w:val="00F5751D"/>
    <w:rsid w:val="00F60291"/>
    <w:rsid w:val="00F60781"/>
    <w:rsid w:val="00F60A94"/>
    <w:rsid w:val="00F61790"/>
    <w:rsid w:val="00F62839"/>
    <w:rsid w:val="00F629F4"/>
    <w:rsid w:val="00F63959"/>
    <w:rsid w:val="00F664E4"/>
    <w:rsid w:val="00F66836"/>
    <w:rsid w:val="00F66E14"/>
    <w:rsid w:val="00F71E49"/>
    <w:rsid w:val="00F725FD"/>
    <w:rsid w:val="00F733B0"/>
    <w:rsid w:val="00F74B8D"/>
    <w:rsid w:val="00F777F8"/>
    <w:rsid w:val="00F77A44"/>
    <w:rsid w:val="00F81191"/>
    <w:rsid w:val="00F81E39"/>
    <w:rsid w:val="00F82EB4"/>
    <w:rsid w:val="00F851B1"/>
    <w:rsid w:val="00F85AC0"/>
    <w:rsid w:val="00F85DB3"/>
    <w:rsid w:val="00F87420"/>
    <w:rsid w:val="00F87E8F"/>
    <w:rsid w:val="00F90470"/>
    <w:rsid w:val="00F90813"/>
    <w:rsid w:val="00F90E0A"/>
    <w:rsid w:val="00F90E23"/>
    <w:rsid w:val="00F910AC"/>
    <w:rsid w:val="00F920CF"/>
    <w:rsid w:val="00F9325E"/>
    <w:rsid w:val="00F94183"/>
    <w:rsid w:val="00F94EA1"/>
    <w:rsid w:val="00F956DD"/>
    <w:rsid w:val="00F95D2E"/>
    <w:rsid w:val="00F96D8C"/>
    <w:rsid w:val="00FA03D4"/>
    <w:rsid w:val="00FA09E3"/>
    <w:rsid w:val="00FA3183"/>
    <w:rsid w:val="00FA4368"/>
    <w:rsid w:val="00FA550A"/>
    <w:rsid w:val="00FA5D77"/>
    <w:rsid w:val="00FA6083"/>
    <w:rsid w:val="00FA667E"/>
    <w:rsid w:val="00FA6719"/>
    <w:rsid w:val="00FA7CFA"/>
    <w:rsid w:val="00FB1067"/>
    <w:rsid w:val="00FB1353"/>
    <w:rsid w:val="00FB15E7"/>
    <w:rsid w:val="00FB2425"/>
    <w:rsid w:val="00FB27B4"/>
    <w:rsid w:val="00FB2A52"/>
    <w:rsid w:val="00FB3491"/>
    <w:rsid w:val="00FC045D"/>
    <w:rsid w:val="00FC1FDC"/>
    <w:rsid w:val="00FC2707"/>
    <w:rsid w:val="00FC296F"/>
    <w:rsid w:val="00FC36D0"/>
    <w:rsid w:val="00FC42DC"/>
    <w:rsid w:val="00FC45B4"/>
    <w:rsid w:val="00FC5E44"/>
    <w:rsid w:val="00FC6478"/>
    <w:rsid w:val="00FC6EE1"/>
    <w:rsid w:val="00FD31A5"/>
    <w:rsid w:val="00FD370F"/>
    <w:rsid w:val="00FD41C5"/>
    <w:rsid w:val="00FD58DD"/>
    <w:rsid w:val="00FD67FF"/>
    <w:rsid w:val="00FD69D5"/>
    <w:rsid w:val="00FD6BAD"/>
    <w:rsid w:val="00FE03F7"/>
    <w:rsid w:val="00FE0700"/>
    <w:rsid w:val="00FE110A"/>
    <w:rsid w:val="00FE1B04"/>
    <w:rsid w:val="00FE2C6B"/>
    <w:rsid w:val="00FE2F97"/>
    <w:rsid w:val="00FE48AB"/>
    <w:rsid w:val="00FE4D4B"/>
    <w:rsid w:val="00FE50B9"/>
    <w:rsid w:val="00FE601C"/>
    <w:rsid w:val="00FE6831"/>
    <w:rsid w:val="00FE7981"/>
    <w:rsid w:val="00FF0DFB"/>
    <w:rsid w:val="00FF30BA"/>
    <w:rsid w:val="00FF36E6"/>
    <w:rsid w:val="00FF5818"/>
    <w:rsid w:val="00FF62F3"/>
    <w:rsid w:val="00FF74E5"/>
    <w:rsid w:val="00FF79C6"/>
    <w:rsid w:val="00FF7C45"/>
    <w:rsid w:val="3BB5BBED"/>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434C3F"/>
  <w15:chartTrackingRefBased/>
  <w15:docId w15:val="{EBA1AAE1-6947-4E6D-B205-75FDA39BA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Deutsche Bank Text" w:eastAsiaTheme="minorHAnsi" w:hAnsi="Deutsche Bank Text" w:cstheme="minorBidi"/>
        <w:lang w:val="de-DE" w:eastAsia="en-US" w:bidi="ar-SA"/>
      </w:rPr>
    </w:rPrDefault>
    <w:pPrDefault>
      <w:pPr>
        <w:spacing w:before="120" w:after="120" w:line="252" w:lineRule="auto"/>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0" w:uiPriority="22"/>
    <w:lsdException w:name="Emphasis" w:locked="0"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39"/>
    <w:lsdException w:name="Table Theme" w:semiHidden="1" w:unhideWhenUsed="1"/>
    <w:lsdException w:name="Placeholder Text"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lsdException w:name="Intense Quote" w:locked="0"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locked="0" w:uiPriority="21" w:qFormat="1"/>
    <w:lsdException w:name="Subtle Reference" w:locked="0" w:uiPriority="31"/>
    <w:lsdException w:name="Intense Reference" w:locked="0" w:uiPriority="32"/>
    <w:lsdException w:name="Book Title" w:locked="0" w:uiPriority="33"/>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F0873"/>
    <w:rPr>
      <w:lang w:val="en-GB"/>
    </w:rPr>
  </w:style>
  <w:style w:type="paragraph" w:styleId="berschrift1">
    <w:name w:val="heading 1"/>
    <w:aliases w:val="headline 1,Body Text 1"/>
    <w:basedOn w:val="Standard"/>
    <w:next w:val="Standard"/>
    <w:link w:val="berschrift1Zchn"/>
    <w:qFormat/>
    <w:rsid w:val="002E51D1"/>
    <w:pPr>
      <w:keepNext/>
      <w:keepLines/>
      <w:numPr>
        <w:numId w:val="3"/>
      </w:numPr>
      <w:spacing w:before="360" w:after="240"/>
      <w:outlineLvl w:val="0"/>
    </w:pPr>
    <w:rPr>
      <w:rFonts w:eastAsiaTheme="majorEastAsia" w:cstheme="majorBidi"/>
      <w:color w:val="0018A8" w:themeColor="accent1"/>
      <w:sz w:val="24"/>
      <w:szCs w:val="32"/>
    </w:rPr>
  </w:style>
  <w:style w:type="paragraph" w:styleId="berschrift2">
    <w:name w:val="heading 2"/>
    <w:aliases w:val="headline 2"/>
    <w:basedOn w:val="berschrift1"/>
    <w:next w:val="Standard"/>
    <w:link w:val="berschrift2Zchn"/>
    <w:unhideWhenUsed/>
    <w:qFormat/>
    <w:locked/>
    <w:rsid w:val="006537E5"/>
    <w:pPr>
      <w:numPr>
        <w:ilvl w:val="1"/>
      </w:numPr>
      <w:spacing w:before="240" w:after="120"/>
      <w:ind w:left="709" w:hanging="709"/>
      <w:outlineLvl w:val="1"/>
    </w:pPr>
    <w:rPr>
      <w:color w:val="0018A8"/>
      <w:szCs w:val="26"/>
    </w:rPr>
  </w:style>
  <w:style w:type="paragraph" w:styleId="berschrift3">
    <w:name w:val="heading 3"/>
    <w:aliases w:val="headline 3"/>
    <w:basedOn w:val="berschrift2"/>
    <w:next w:val="Standard"/>
    <w:link w:val="berschrift3Zchn"/>
    <w:unhideWhenUsed/>
    <w:qFormat/>
    <w:locked/>
    <w:rsid w:val="006537E5"/>
    <w:pPr>
      <w:numPr>
        <w:ilvl w:val="2"/>
      </w:numPr>
      <w:ind w:left="709" w:hanging="709"/>
      <w:outlineLvl w:val="2"/>
    </w:pPr>
    <w:rPr>
      <w:sz w:val="22"/>
      <w:szCs w:val="24"/>
    </w:rPr>
  </w:style>
  <w:style w:type="paragraph" w:styleId="berschrift4">
    <w:name w:val="heading 4"/>
    <w:basedOn w:val="Standard"/>
    <w:next w:val="Standard"/>
    <w:link w:val="berschrift4Zchn"/>
    <w:unhideWhenUsed/>
    <w:qFormat/>
    <w:locked/>
    <w:rsid w:val="001E61E8"/>
    <w:pPr>
      <w:keepNext/>
      <w:keepLines/>
      <w:numPr>
        <w:ilvl w:val="3"/>
        <w:numId w:val="3"/>
      </w:numPr>
      <w:outlineLvl w:val="3"/>
    </w:pPr>
    <w:rPr>
      <w:iCs/>
      <w:color w:val="0018A8" w:themeColor="accent1"/>
    </w:rPr>
  </w:style>
  <w:style w:type="paragraph" w:styleId="berschrift5">
    <w:name w:val="heading 5"/>
    <w:basedOn w:val="berschrift4"/>
    <w:next w:val="Standard"/>
    <w:link w:val="berschrift5Zchn"/>
    <w:unhideWhenUsed/>
    <w:qFormat/>
    <w:locked/>
    <w:rsid w:val="000206D8"/>
    <w:pPr>
      <w:numPr>
        <w:ilvl w:val="4"/>
      </w:numPr>
      <w:outlineLvl w:val="4"/>
    </w:pPr>
    <w:rPr>
      <w:rFonts w:eastAsiaTheme="majorEastAsia" w:cstheme="majorBid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40BC3"/>
    <w:pPr>
      <w:tabs>
        <w:tab w:val="center" w:pos="4513"/>
        <w:tab w:val="right" w:pos="9026"/>
      </w:tabs>
      <w:spacing w:before="240" w:after="0" w:line="240" w:lineRule="auto"/>
    </w:pPr>
    <w:rPr>
      <w:color w:val="0C2340"/>
      <w:sz w:val="24"/>
    </w:rPr>
  </w:style>
  <w:style w:type="character" w:customStyle="1" w:styleId="KopfzeileZchn">
    <w:name w:val="Kopfzeile Zchn"/>
    <w:basedOn w:val="Absatz-Standardschriftart"/>
    <w:link w:val="Kopfzeile"/>
    <w:uiPriority w:val="99"/>
    <w:rsid w:val="00740BC3"/>
    <w:rPr>
      <w:rFonts w:ascii="Deutsche Bank Text" w:hAnsi="Deutsche Bank Text"/>
      <w:color w:val="0C2340"/>
      <w:sz w:val="24"/>
    </w:rPr>
  </w:style>
  <w:style w:type="paragraph" w:styleId="Fuzeile">
    <w:name w:val="footer"/>
    <w:basedOn w:val="Standard"/>
    <w:link w:val="FuzeileZchn"/>
    <w:uiPriority w:val="99"/>
    <w:unhideWhenUsed/>
    <w:rsid w:val="00477E4A"/>
    <w:pPr>
      <w:spacing w:line="240" w:lineRule="auto"/>
    </w:pPr>
    <w:rPr>
      <w:sz w:val="16"/>
    </w:rPr>
  </w:style>
  <w:style w:type="character" w:customStyle="1" w:styleId="FuzeileZchn">
    <w:name w:val="Fußzeile Zchn"/>
    <w:basedOn w:val="Absatz-Standardschriftart"/>
    <w:link w:val="Fuzeile"/>
    <w:uiPriority w:val="99"/>
    <w:rsid w:val="00477E4A"/>
    <w:rPr>
      <w:sz w:val="16"/>
      <w:lang w:val="en-GB"/>
    </w:rPr>
  </w:style>
  <w:style w:type="paragraph" w:customStyle="1" w:styleId="identifier">
    <w:name w:val="identifier"/>
    <w:basedOn w:val="Standard"/>
    <w:next w:val="Standard"/>
    <w:rsid w:val="00B710FE"/>
    <w:pPr>
      <w:tabs>
        <w:tab w:val="center" w:pos="4536"/>
        <w:tab w:val="right" w:pos="9072"/>
      </w:tabs>
      <w:spacing w:line="240" w:lineRule="auto"/>
      <w:jc w:val="both"/>
    </w:pPr>
    <w:rPr>
      <w:rFonts w:eastAsia="Times New Roman" w:cs="Deutsche Bank Text"/>
      <w:noProof/>
      <w:color w:val="0018A8"/>
      <w:sz w:val="28"/>
      <w:szCs w:val="24"/>
      <w:lang w:val="en-US"/>
    </w:rPr>
  </w:style>
  <w:style w:type="character" w:customStyle="1" w:styleId="berschrift1Zchn">
    <w:name w:val="Überschrift 1 Zchn"/>
    <w:aliases w:val="headline 1 Zchn,Body Text 1 Zchn"/>
    <w:basedOn w:val="Absatz-Standardschriftart"/>
    <w:link w:val="berschrift1"/>
    <w:uiPriority w:val="9"/>
    <w:rsid w:val="001E61E8"/>
    <w:rPr>
      <w:rFonts w:eastAsiaTheme="majorEastAsia" w:cstheme="majorBidi"/>
      <w:color w:val="0018A8" w:themeColor="accent1"/>
      <w:sz w:val="24"/>
      <w:szCs w:val="32"/>
      <w:lang w:val="en-GB"/>
    </w:rPr>
  </w:style>
  <w:style w:type="paragraph" w:customStyle="1" w:styleId="DocumentCategory">
    <w:name w:val="Document Category"/>
    <w:basedOn w:val="Standard"/>
    <w:next w:val="Standard"/>
    <w:rsid w:val="00A008AA"/>
    <w:pPr>
      <w:autoSpaceDE w:val="0"/>
      <w:autoSpaceDN w:val="0"/>
      <w:adjustRightInd w:val="0"/>
      <w:spacing w:before="1800" w:line="240" w:lineRule="auto"/>
    </w:pPr>
    <w:rPr>
      <w:rFonts w:eastAsia="Times New Roman" w:cstheme="minorHAnsi"/>
      <w:color w:val="DBF4F9"/>
      <w:sz w:val="36"/>
      <w:szCs w:val="36"/>
    </w:rPr>
  </w:style>
  <w:style w:type="character" w:customStyle="1" w:styleId="berschrift2Zchn">
    <w:name w:val="Überschrift 2 Zchn"/>
    <w:aliases w:val="headline 2 Zchn"/>
    <w:basedOn w:val="Absatz-Standardschriftart"/>
    <w:link w:val="berschrift2"/>
    <w:uiPriority w:val="9"/>
    <w:rsid w:val="006537E5"/>
    <w:rPr>
      <w:rFonts w:eastAsiaTheme="majorEastAsia" w:cstheme="majorBidi"/>
      <w:color w:val="0018A8"/>
      <w:sz w:val="24"/>
      <w:szCs w:val="26"/>
      <w:lang w:val="en-GB"/>
    </w:rPr>
  </w:style>
  <w:style w:type="character" w:customStyle="1" w:styleId="berschrift3Zchn">
    <w:name w:val="Überschrift 3 Zchn"/>
    <w:aliases w:val="headline 3 Zchn"/>
    <w:basedOn w:val="Absatz-Standardschriftart"/>
    <w:link w:val="berschrift3"/>
    <w:uiPriority w:val="9"/>
    <w:rsid w:val="006537E5"/>
    <w:rPr>
      <w:rFonts w:eastAsiaTheme="majorEastAsia" w:cstheme="majorBidi"/>
      <w:color w:val="0018A8"/>
      <w:sz w:val="22"/>
      <w:szCs w:val="24"/>
      <w:lang w:val="en-GB"/>
    </w:rPr>
  </w:style>
  <w:style w:type="character" w:customStyle="1" w:styleId="berschrift4Zchn">
    <w:name w:val="Überschrift 4 Zchn"/>
    <w:basedOn w:val="Absatz-Standardschriftart"/>
    <w:link w:val="berschrift4"/>
    <w:uiPriority w:val="9"/>
    <w:rsid w:val="001E61E8"/>
    <w:rPr>
      <w:iCs/>
      <w:color w:val="0018A8" w:themeColor="accent1"/>
      <w:lang w:val="en-GB"/>
    </w:rPr>
  </w:style>
  <w:style w:type="paragraph" w:customStyle="1" w:styleId="DocumentTitle">
    <w:name w:val="Document Title"/>
    <w:basedOn w:val="Standard"/>
    <w:next w:val="Standard"/>
    <w:rsid w:val="00602186"/>
    <w:pPr>
      <w:spacing w:before="0" w:after="0" w:line="240" w:lineRule="auto"/>
    </w:pPr>
    <w:rPr>
      <w:rFonts w:ascii="Deutsche Bank Display" w:eastAsia="Times New Roman" w:hAnsi="Deutsche Bank Display" w:cstheme="majorHAnsi"/>
      <w:bCs/>
      <w:color w:val="FFFFFF" w:themeColor="background1"/>
      <w:sz w:val="60"/>
      <w:szCs w:val="60"/>
      <w:lang w:eastAsia="de-DE"/>
    </w:rPr>
  </w:style>
  <w:style w:type="character" w:styleId="Hervorhebung">
    <w:name w:val="Emphasis"/>
    <w:basedOn w:val="Absatz-Standardschriftart"/>
    <w:uiPriority w:val="20"/>
    <w:qFormat/>
    <w:rsid w:val="008A1146"/>
    <w:rPr>
      <w:i/>
      <w:iCs/>
    </w:rPr>
  </w:style>
  <w:style w:type="character" w:styleId="Platzhaltertext">
    <w:name w:val="Placeholder Text"/>
    <w:basedOn w:val="Absatz-Standardschriftart"/>
    <w:uiPriority w:val="99"/>
    <w:semiHidden/>
    <w:locked/>
    <w:rsid w:val="000F1A56"/>
    <w:rPr>
      <w:color w:val="808080"/>
    </w:rPr>
  </w:style>
  <w:style w:type="character" w:styleId="IntensiveHervorhebung">
    <w:name w:val="Intense Emphasis"/>
    <w:basedOn w:val="Absatz-Standardschriftart"/>
    <w:uiPriority w:val="21"/>
    <w:qFormat/>
    <w:rsid w:val="00835439"/>
    <w:rPr>
      <w:i/>
      <w:iCs/>
      <w:color w:val="33B9E6"/>
    </w:rPr>
  </w:style>
  <w:style w:type="paragraph" w:styleId="berarbeitung">
    <w:name w:val="Revision"/>
    <w:hidden/>
    <w:uiPriority w:val="99"/>
    <w:semiHidden/>
    <w:rsid w:val="00063EFF"/>
    <w:pPr>
      <w:spacing w:after="0" w:line="240" w:lineRule="auto"/>
    </w:pPr>
  </w:style>
  <w:style w:type="paragraph" w:styleId="KeinLeerraum">
    <w:name w:val="No Spacing"/>
    <w:basedOn w:val="Standard"/>
    <w:uiPriority w:val="1"/>
    <w:rsid w:val="005744B7"/>
    <w:pPr>
      <w:spacing w:after="0" w:line="240" w:lineRule="auto"/>
    </w:pPr>
  </w:style>
  <w:style w:type="paragraph" w:customStyle="1" w:styleId="Glossary">
    <w:name w:val="Glossary"/>
    <w:basedOn w:val="Standard"/>
    <w:qFormat/>
    <w:rsid w:val="009D618C"/>
    <w:pPr>
      <w:keepLines/>
      <w:tabs>
        <w:tab w:val="left" w:pos="357"/>
      </w:tabs>
      <w:spacing w:before="60" w:after="60" w:line="240" w:lineRule="auto"/>
    </w:pPr>
    <w:rPr>
      <w:rFonts w:eastAsia="Times New Roman" w:cs="Deutsche Bank Text"/>
      <w:sz w:val="18"/>
      <w:szCs w:val="18"/>
    </w:rPr>
  </w:style>
  <w:style w:type="paragraph" w:customStyle="1" w:styleId="Annex">
    <w:name w:val="Annex"/>
    <w:basedOn w:val="berschrift2"/>
    <w:next w:val="Standard"/>
    <w:link w:val="AnnexChar"/>
    <w:qFormat/>
    <w:rsid w:val="00D5723C"/>
    <w:pPr>
      <w:keepLines w:val="0"/>
      <w:numPr>
        <w:ilvl w:val="0"/>
        <w:numId w:val="7"/>
      </w:numPr>
      <w:tabs>
        <w:tab w:val="left" w:pos="567"/>
      </w:tabs>
      <w:autoSpaceDE w:val="0"/>
      <w:autoSpaceDN w:val="0"/>
      <w:adjustRightInd w:val="0"/>
      <w:spacing w:before="120" w:line="240" w:lineRule="auto"/>
      <w:ind w:left="1559" w:hanging="1559"/>
    </w:pPr>
    <w:rPr>
      <w:rFonts w:eastAsia="Times New Roman" w:cs="Deutsche Bank Text"/>
      <w:color w:val="0038E0"/>
      <w:szCs w:val="24"/>
      <w14:textFill>
        <w14:solidFill>
          <w14:srgbClr w14:val="0038E0">
            <w14:lumMod w14:val="75000"/>
            <w14:lumMod w14:val="75000"/>
            <w14:lumOff w14:val="25000"/>
            <w14:lumMod w14:val="50000"/>
            <w14:lumOff w14:val="50000"/>
          </w14:srgbClr>
        </w14:solidFill>
      </w14:textFill>
    </w:rPr>
  </w:style>
  <w:style w:type="character" w:customStyle="1" w:styleId="AnnexChar">
    <w:name w:val="Annex Char"/>
    <w:basedOn w:val="Absatz-Standardschriftart"/>
    <w:link w:val="Annex"/>
    <w:rsid w:val="00D5723C"/>
    <w:rPr>
      <w:rFonts w:eastAsia="Times New Roman" w:cs="Deutsche Bank Text"/>
      <w:color w:val="0038E0"/>
      <w:sz w:val="24"/>
      <w:szCs w:val="24"/>
      <w:lang w:val="en-GB"/>
      <w14:textFill>
        <w14:solidFill>
          <w14:srgbClr w14:val="0038E0">
            <w14:lumMod w14:val="75000"/>
            <w14:lumMod w14:val="75000"/>
            <w14:lumOff w14:val="25000"/>
            <w14:lumMod w14:val="50000"/>
            <w14:lumOff w14:val="50000"/>
          </w14:srgbClr>
        </w14:solidFill>
      </w14:textFill>
    </w:rPr>
  </w:style>
  <w:style w:type="table" w:styleId="Tabellenraster">
    <w:name w:val="Table Grid"/>
    <w:basedOn w:val="NormaleTabelle"/>
    <w:uiPriority w:val="39"/>
    <w:rsid w:val="0073369E"/>
    <w:pPr>
      <w:spacing w:before="60" w:after="60" w:line="240" w:lineRule="auto"/>
    </w:pPr>
    <w:rPr>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style>
  <w:style w:type="table" w:customStyle="1" w:styleId="Glossarytable">
    <w:name w:val="Glossary table"/>
    <w:basedOn w:val="NormaleTabelle"/>
    <w:uiPriority w:val="99"/>
    <w:rsid w:val="00ED7B2F"/>
    <w:pPr>
      <w:spacing w:before="60" w:after="60" w:line="240" w:lineRule="auto"/>
    </w:pPr>
    <w:rPr>
      <w:sz w:val="18"/>
    </w:rPr>
    <w:tblPr>
      <w:tblBorders>
        <w:top w:val="single" w:sz="4" w:space="0" w:color="auto"/>
        <w:bottom w:val="single" w:sz="4" w:space="0" w:color="auto"/>
        <w:insideH w:val="single" w:sz="4" w:space="0" w:color="auto"/>
      </w:tblBorders>
      <w:tblCellMar>
        <w:top w:w="28" w:type="dxa"/>
        <w:left w:w="57" w:type="dxa"/>
        <w:bottom w:w="28" w:type="dxa"/>
        <w:right w:w="57" w:type="dxa"/>
      </w:tblCellMar>
    </w:tblPr>
    <w:trPr>
      <w:cantSplit/>
    </w:trPr>
    <w:tcPr>
      <w:shd w:val="clear" w:color="auto" w:fill="auto"/>
    </w:tcPr>
    <w:tblStylePr w:type="firstRow">
      <w:tblPr/>
      <w:tcPr>
        <w:shd w:val="clear" w:color="auto" w:fill="D9D9D9" w:themeFill="background1" w:themeFillShade="D9"/>
      </w:tcPr>
    </w:tblStylePr>
  </w:style>
  <w:style w:type="paragraph" w:styleId="Zitat">
    <w:name w:val="Quote"/>
    <w:basedOn w:val="Standard"/>
    <w:next w:val="Standard"/>
    <w:link w:val="ZitatZchn"/>
    <w:uiPriority w:val="29"/>
    <w:rsid w:val="00C42404"/>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C42404"/>
    <w:rPr>
      <w:rFonts w:ascii="Deutsche Bank Text" w:hAnsi="Deutsche Bank Text"/>
      <w:i/>
      <w:iCs/>
      <w:color w:val="404040" w:themeColor="text1" w:themeTint="BF"/>
      <w:sz w:val="20"/>
      <w:lang w:val="en-GB"/>
    </w:rPr>
  </w:style>
  <w:style w:type="paragraph" w:styleId="Funotentext">
    <w:name w:val="footnote text"/>
    <w:basedOn w:val="Standard"/>
    <w:link w:val="FunotentextZchn"/>
    <w:locked/>
    <w:rsid w:val="007B52ED"/>
    <w:pPr>
      <w:spacing w:before="0" w:after="0" w:line="240" w:lineRule="auto"/>
    </w:pPr>
    <w:rPr>
      <w:rFonts w:eastAsia="Times New Roman" w:cs="Times New Roman"/>
      <w:color w:val="62687C"/>
      <w:sz w:val="16"/>
    </w:rPr>
  </w:style>
  <w:style w:type="character" w:customStyle="1" w:styleId="FunotentextZchn">
    <w:name w:val="Fußnotentext Zchn"/>
    <w:basedOn w:val="Absatz-Standardschriftart"/>
    <w:link w:val="Funotentext"/>
    <w:rsid w:val="007B52ED"/>
    <w:rPr>
      <w:rFonts w:eastAsia="Times New Roman" w:cs="Times New Roman"/>
      <w:color w:val="62687C"/>
      <w:sz w:val="16"/>
    </w:rPr>
  </w:style>
  <w:style w:type="character" w:styleId="Funotenzeichen">
    <w:name w:val="footnote reference"/>
    <w:basedOn w:val="Absatz-Standardschriftart"/>
    <w:locked/>
    <w:rsid w:val="00613A12"/>
    <w:rPr>
      <w:vertAlign w:val="superscript"/>
    </w:rPr>
  </w:style>
  <w:style w:type="paragraph" w:styleId="IntensivesZitat">
    <w:name w:val="Intense Quote"/>
    <w:basedOn w:val="Standard"/>
    <w:next w:val="Standard"/>
    <w:link w:val="IntensivesZitatZchn"/>
    <w:uiPriority w:val="30"/>
    <w:rsid w:val="00362FF7"/>
    <w:pPr>
      <w:pBdr>
        <w:top w:val="single" w:sz="4" w:space="10" w:color="0018A8" w:themeColor="accent1"/>
        <w:bottom w:val="single" w:sz="4" w:space="10" w:color="0018A8" w:themeColor="accent1"/>
      </w:pBdr>
      <w:spacing w:before="360" w:after="360"/>
      <w:ind w:left="864" w:right="864"/>
      <w:jc w:val="center"/>
    </w:pPr>
    <w:rPr>
      <w:i/>
      <w:iCs/>
      <w:color w:val="0018A8" w:themeColor="accent1"/>
    </w:rPr>
  </w:style>
  <w:style w:type="character" w:customStyle="1" w:styleId="IntensivesZitatZchn">
    <w:name w:val="Intensives Zitat Zchn"/>
    <w:basedOn w:val="Absatz-Standardschriftart"/>
    <w:link w:val="IntensivesZitat"/>
    <w:uiPriority w:val="30"/>
    <w:rsid w:val="00362FF7"/>
    <w:rPr>
      <w:rFonts w:ascii="Deutsche Bank Text" w:hAnsi="Deutsche Bank Text"/>
      <w:i/>
      <w:iCs/>
      <w:color w:val="0018A8" w:themeColor="accent1"/>
      <w:sz w:val="20"/>
    </w:rPr>
  </w:style>
  <w:style w:type="character" w:styleId="IntensiverVerweis">
    <w:name w:val="Intense Reference"/>
    <w:basedOn w:val="Absatz-Standardschriftart"/>
    <w:uiPriority w:val="32"/>
    <w:rsid w:val="004728F9"/>
    <w:rPr>
      <w:b/>
      <w:bCs/>
      <w:smallCaps/>
      <w:color w:val="0018A8" w:themeColor="accent1"/>
      <w:spacing w:val="5"/>
    </w:rPr>
  </w:style>
  <w:style w:type="paragraph" w:styleId="Untertitel">
    <w:name w:val="Subtitle"/>
    <w:basedOn w:val="Standard"/>
    <w:next w:val="Standard"/>
    <w:link w:val="UntertitelZchn"/>
    <w:uiPriority w:val="11"/>
    <w:rsid w:val="00A00C7A"/>
    <w:pPr>
      <w:numPr>
        <w:ilvl w:val="1"/>
      </w:numPr>
      <w:spacing w:after="160"/>
    </w:pPr>
    <w:rPr>
      <w:rFonts w:asciiTheme="minorHAnsi" w:eastAsiaTheme="minorEastAsia" w:hAnsiTheme="minorHAnsi"/>
      <w:color w:val="5A5A5A" w:themeColor="text1" w:themeTint="A5"/>
      <w:spacing w:val="15"/>
      <w:sz w:val="22"/>
    </w:rPr>
  </w:style>
  <w:style w:type="character" w:customStyle="1" w:styleId="UntertitelZchn">
    <w:name w:val="Untertitel Zchn"/>
    <w:basedOn w:val="Absatz-Standardschriftart"/>
    <w:link w:val="Untertitel"/>
    <w:uiPriority w:val="11"/>
    <w:rsid w:val="00A00C7A"/>
    <w:rPr>
      <w:rFonts w:eastAsiaTheme="minorEastAsia"/>
      <w:color w:val="5A5A5A" w:themeColor="text1" w:themeTint="A5"/>
      <w:spacing w:val="15"/>
    </w:rPr>
  </w:style>
  <w:style w:type="paragraph" w:customStyle="1" w:styleId="KeyDataIntense">
    <w:name w:val="Key Data Intense"/>
    <w:basedOn w:val="Standard"/>
    <w:rsid w:val="007D3EEB"/>
    <w:rPr>
      <w:color w:val="0018A8"/>
    </w:rPr>
  </w:style>
  <w:style w:type="table" w:customStyle="1" w:styleId="KeyDataTable">
    <w:name w:val="Key Data Table"/>
    <w:basedOn w:val="NormaleTabelle"/>
    <w:rsid w:val="008923D7"/>
    <w:pPr>
      <w:suppressAutoHyphens/>
      <w:spacing w:before="60" w:after="60"/>
    </w:pPr>
    <w:rPr>
      <w:sz w:val="18"/>
    </w:rPr>
    <w:tblPr>
      <w:tblBorders>
        <w:top w:val="single" w:sz="4" w:space="0" w:color="auto"/>
        <w:bottom w:val="single" w:sz="4" w:space="0" w:color="auto"/>
        <w:insideH w:val="single" w:sz="4" w:space="0" w:color="auto"/>
      </w:tblBorders>
      <w:tblCellMar>
        <w:top w:w="28" w:type="dxa"/>
        <w:left w:w="57" w:type="dxa"/>
        <w:bottom w:w="28" w:type="dxa"/>
        <w:right w:w="57" w:type="dxa"/>
      </w:tblCellMar>
    </w:tblPr>
    <w:tcPr>
      <w:shd w:val="clear" w:color="auto" w:fill="auto"/>
      <w:vAlign w:val="center"/>
    </w:tcPr>
    <w:tblStylePr w:type="firstRow">
      <w:rPr>
        <w:rFonts w:ascii="Deutsche Bank Text" w:hAnsi="Deutsche Bank Text"/>
        <w:sz w:val="18"/>
      </w:rPr>
    </w:tblStylePr>
    <w:tblStylePr w:type="firstCol">
      <w:rPr>
        <w:rFonts w:ascii="Deutsche Bank Text" w:hAnsi="Deutsche Bank Text"/>
        <w:color w:val="0018A8" w:themeColor="accent1"/>
        <w:sz w:val="18"/>
      </w:rPr>
    </w:tblStylePr>
  </w:style>
  <w:style w:type="paragraph" w:styleId="Inhaltsverzeichnisberschrift">
    <w:name w:val="TOC Heading"/>
    <w:basedOn w:val="berschrift1"/>
    <w:next w:val="Standard"/>
    <w:uiPriority w:val="39"/>
    <w:unhideWhenUsed/>
    <w:qFormat/>
    <w:locked/>
    <w:rsid w:val="00A005AA"/>
    <w:pPr>
      <w:numPr>
        <w:numId w:val="0"/>
      </w:numPr>
      <w:spacing w:before="240" w:after="0" w:line="240" w:lineRule="auto"/>
      <w:outlineLvl w:val="9"/>
    </w:pPr>
    <w:rPr>
      <w:rFonts w:ascii="Deutsche Bank Display" w:hAnsi="Deutsche Bank Display"/>
    </w:rPr>
  </w:style>
  <w:style w:type="paragraph" w:styleId="Verzeichnis1">
    <w:name w:val="toc 1"/>
    <w:basedOn w:val="Standard"/>
    <w:next w:val="Standard"/>
    <w:autoRedefine/>
    <w:uiPriority w:val="39"/>
    <w:unhideWhenUsed/>
    <w:locked/>
    <w:rsid w:val="006E4B0D"/>
    <w:pPr>
      <w:tabs>
        <w:tab w:val="right" w:leader="dot" w:pos="9060"/>
      </w:tabs>
      <w:spacing w:before="60" w:after="60"/>
      <w:ind w:left="425" w:hanging="425"/>
    </w:pPr>
    <w:rPr>
      <w:sz w:val="22"/>
    </w:rPr>
  </w:style>
  <w:style w:type="paragraph" w:styleId="Verzeichnis2">
    <w:name w:val="toc 2"/>
    <w:basedOn w:val="Standard"/>
    <w:next w:val="Standard"/>
    <w:autoRedefine/>
    <w:uiPriority w:val="39"/>
    <w:unhideWhenUsed/>
    <w:locked/>
    <w:rsid w:val="002117DB"/>
    <w:pPr>
      <w:tabs>
        <w:tab w:val="left" w:pos="1540"/>
        <w:tab w:val="right" w:leader="dot" w:pos="9060"/>
      </w:tabs>
      <w:spacing w:before="0" w:after="60"/>
      <w:ind w:left="1163" w:hanging="709"/>
    </w:pPr>
  </w:style>
  <w:style w:type="paragraph" w:styleId="Verzeichnis3">
    <w:name w:val="toc 3"/>
    <w:basedOn w:val="Standard"/>
    <w:next w:val="Standard"/>
    <w:autoRedefine/>
    <w:uiPriority w:val="39"/>
    <w:unhideWhenUsed/>
    <w:locked/>
    <w:rsid w:val="00EA7FA5"/>
    <w:pPr>
      <w:spacing w:before="0" w:after="0"/>
      <w:ind w:left="1163" w:hanging="709"/>
    </w:pPr>
  </w:style>
  <w:style w:type="character" w:styleId="Hyperlink">
    <w:name w:val="Hyperlink"/>
    <w:basedOn w:val="Absatz-Standardschriftart"/>
    <w:uiPriority w:val="99"/>
    <w:unhideWhenUsed/>
    <w:locked/>
    <w:rsid w:val="00505DFF"/>
    <w:rPr>
      <w:color w:val="0B243A" w:themeColor="hyperlink"/>
      <w:u w:val="single"/>
    </w:rPr>
  </w:style>
  <w:style w:type="paragraph" w:customStyle="1" w:styleId="BulletList">
    <w:name w:val="Bullet List"/>
    <w:basedOn w:val="Standard"/>
    <w:qFormat/>
    <w:rsid w:val="00A966CC"/>
    <w:pPr>
      <w:numPr>
        <w:numId w:val="5"/>
      </w:numPr>
      <w:spacing w:before="60" w:after="60"/>
      <w:ind w:left="737" w:hanging="357"/>
    </w:pPr>
    <w:rPr>
      <w:rFonts w:eastAsia="Times New Roman" w:cs="Times New Roman"/>
    </w:rPr>
  </w:style>
  <w:style w:type="paragraph" w:styleId="Listenabsatz">
    <w:name w:val="List Paragraph"/>
    <w:aliases w:val="Numbered List,List Paragraph Main,List first level"/>
    <w:basedOn w:val="Standard"/>
    <w:link w:val="ListenabsatzZchn"/>
    <w:uiPriority w:val="34"/>
    <w:qFormat/>
    <w:rsid w:val="008E69E3"/>
    <w:pPr>
      <w:numPr>
        <w:numId w:val="6"/>
      </w:numPr>
      <w:spacing w:before="60" w:after="60"/>
    </w:pPr>
  </w:style>
  <w:style w:type="paragraph" w:styleId="Beschriftung">
    <w:name w:val="caption"/>
    <w:basedOn w:val="Standard"/>
    <w:next w:val="Standard"/>
    <w:uiPriority w:val="35"/>
    <w:unhideWhenUsed/>
    <w:locked/>
    <w:rsid w:val="00FE48AB"/>
    <w:pPr>
      <w:spacing w:before="0" w:after="200" w:line="240" w:lineRule="auto"/>
    </w:pPr>
    <w:rPr>
      <w:i/>
      <w:iCs/>
      <w:color w:val="425563"/>
      <w:sz w:val="16"/>
      <w:szCs w:val="18"/>
    </w:rPr>
  </w:style>
  <w:style w:type="table" w:styleId="TabellemithellemGitternetz">
    <w:name w:val="Grid Table Light"/>
    <w:basedOn w:val="NormaleTabelle"/>
    <w:uiPriority w:val="40"/>
    <w:rsid w:val="00A055F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itternetztabelle5dunkel">
    <w:name w:val="Grid Table 5 Dark"/>
    <w:basedOn w:val="NormaleTabelle"/>
    <w:uiPriority w:val="50"/>
    <w:rsid w:val="00B85C0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styleId="RGV-berschrift">
    <w:name w:val="toa heading"/>
    <w:basedOn w:val="Standard"/>
    <w:next w:val="Standard"/>
    <w:uiPriority w:val="99"/>
    <w:unhideWhenUsed/>
    <w:locked/>
    <w:rsid w:val="004C54E8"/>
    <w:rPr>
      <w:rFonts w:asciiTheme="majorHAnsi" w:eastAsiaTheme="majorEastAsia" w:hAnsiTheme="majorHAnsi" w:cstheme="majorBidi"/>
      <w:b/>
      <w:bCs/>
      <w:sz w:val="24"/>
      <w:szCs w:val="24"/>
    </w:rPr>
  </w:style>
  <w:style w:type="paragraph" w:styleId="Fu-Endnotenberschrift">
    <w:name w:val="Note Heading"/>
    <w:basedOn w:val="Standard"/>
    <w:next w:val="Standard"/>
    <w:link w:val="Fu-EndnotenberschriftZchn"/>
    <w:uiPriority w:val="99"/>
    <w:unhideWhenUsed/>
    <w:locked/>
    <w:rsid w:val="00A13984"/>
    <w:pPr>
      <w:spacing w:before="0" w:after="0" w:line="240" w:lineRule="auto"/>
    </w:pPr>
  </w:style>
  <w:style w:type="character" w:customStyle="1" w:styleId="Fu-EndnotenberschriftZchn">
    <w:name w:val="Fuß/-Endnotenüberschrift Zchn"/>
    <w:basedOn w:val="Absatz-Standardschriftart"/>
    <w:link w:val="Fu-Endnotenberschrift"/>
    <w:uiPriority w:val="99"/>
    <w:rsid w:val="00A13984"/>
  </w:style>
  <w:style w:type="character" w:styleId="NichtaufgelsteErwhnung">
    <w:name w:val="Unresolved Mention"/>
    <w:basedOn w:val="Absatz-Standardschriftart"/>
    <w:uiPriority w:val="99"/>
    <w:unhideWhenUsed/>
    <w:locked/>
    <w:rsid w:val="0036345B"/>
    <w:rPr>
      <w:color w:val="605E5C"/>
      <w:shd w:val="clear" w:color="auto" w:fill="E1DFDD"/>
    </w:rPr>
  </w:style>
  <w:style w:type="character" w:customStyle="1" w:styleId="berschrift5Zchn">
    <w:name w:val="Überschrift 5 Zchn"/>
    <w:basedOn w:val="Absatz-Standardschriftart"/>
    <w:link w:val="berschrift5"/>
    <w:uiPriority w:val="9"/>
    <w:semiHidden/>
    <w:rsid w:val="000206D8"/>
    <w:rPr>
      <w:rFonts w:eastAsiaTheme="majorEastAsia" w:cstheme="majorBidi"/>
      <w:iCs/>
      <w:color w:val="0018A8" w:themeColor="accent1"/>
      <w:lang w:val="en-GB"/>
    </w:rPr>
  </w:style>
  <w:style w:type="paragraph" w:customStyle="1" w:styleId="copytext">
    <w:name w:val="copy text"/>
    <w:basedOn w:val="Standard"/>
    <w:rsid w:val="00D85450"/>
    <w:pPr>
      <w:framePr w:wrap="around" w:vAnchor="text" w:hAnchor="text" w:y="1"/>
      <w:autoSpaceDE w:val="0"/>
      <w:autoSpaceDN w:val="0"/>
      <w:adjustRightInd w:val="0"/>
      <w:spacing w:before="240" w:after="240"/>
    </w:pPr>
    <w:rPr>
      <w:rFonts w:ascii="Tahoma" w:eastAsia="Times New Roman" w:hAnsi="Tahoma" w:cs="Arial"/>
      <w:bCs/>
      <w:sz w:val="22"/>
      <w:szCs w:val="21"/>
      <w:lang w:val="en-US" w:eastAsia="de-DE"/>
    </w:rPr>
  </w:style>
  <w:style w:type="character" w:styleId="Kommentarzeichen">
    <w:name w:val="annotation reference"/>
    <w:basedOn w:val="Absatz-Standardschriftart"/>
    <w:uiPriority w:val="99"/>
    <w:unhideWhenUsed/>
    <w:locked/>
    <w:rsid w:val="006602B4"/>
    <w:rPr>
      <w:sz w:val="16"/>
      <w:szCs w:val="16"/>
    </w:rPr>
  </w:style>
  <w:style w:type="paragraph" w:styleId="Kommentartext">
    <w:name w:val="annotation text"/>
    <w:basedOn w:val="Standard"/>
    <w:link w:val="KommentartextZchn"/>
    <w:uiPriority w:val="99"/>
    <w:unhideWhenUsed/>
    <w:locked/>
    <w:rsid w:val="006602B4"/>
    <w:pPr>
      <w:spacing w:line="240" w:lineRule="auto"/>
    </w:pPr>
  </w:style>
  <w:style w:type="character" w:customStyle="1" w:styleId="KommentartextZchn">
    <w:name w:val="Kommentartext Zchn"/>
    <w:basedOn w:val="Absatz-Standardschriftart"/>
    <w:link w:val="Kommentartext"/>
    <w:uiPriority w:val="99"/>
    <w:rsid w:val="006602B4"/>
    <w:rPr>
      <w:lang w:val="en-GB"/>
    </w:rPr>
  </w:style>
  <w:style w:type="paragraph" w:styleId="Kommentarthema">
    <w:name w:val="annotation subject"/>
    <w:basedOn w:val="Kommentartext"/>
    <w:next w:val="Kommentartext"/>
    <w:link w:val="KommentarthemaZchn"/>
    <w:uiPriority w:val="99"/>
    <w:semiHidden/>
    <w:unhideWhenUsed/>
    <w:locked/>
    <w:rsid w:val="006602B4"/>
    <w:rPr>
      <w:b/>
      <w:bCs/>
    </w:rPr>
  </w:style>
  <w:style w:type="character" w:customStyle="1" w:styleId="KommentarthemaZchn">
    <w:name w:val="Kommentarthema Zchn"/>
    <w:basedOn w:val="KommentartextZchn"/>
    <w:link w:val="Kommentarthema"/>
    <w:uiPriority w:val="99"/>
    <w:semiHidden/>
    <w:rsid w:val="006602B4"/>
    <w:rPr>
      <w:b/>
      <w:bCs/>
      <w:lang w:val="en-GB"/>
    </w:rPr>
  </w:style>
  <w:style w:type="paragraph" w:styleId="Verzeichnis9">
    <w:name w:val="toc 9"/>
    <w:basedOn w:val="Standard"/>
    <w:next w:val="Standard"/>
    <w:autoRedefine/>
    <w:uiPriority w:val="39"/>
    <w:unhideWhenUsed/>
    <w:locked/>
    <w:rsid w:val="00D5723C"/>
    <w:pPr>
      <w:tabs>
        <w:tab w:val="left" w:pos="1418"/>
        <w:tab w:val="right" w:leader="dot" w:pos="9061"/>
      </w:tabs>
      <w:ind w:left="1418" w:hanging="1418"/>
    </w:pPr>
    <w:rPr>
      <w:noProof/>
    </w:rPr>
  </w:style>
  <w:style w:type="character" w:styleId="BesuchterLink">
    <w:name w:val="FollowedHyperlink"/>
    <w:basedOn w:val="Absatz-Standardschriftart"/>
    <w:uiPriority w:val="99"/>
    <w:semiHidden/>
    <w:unhideWhenUsed/>
    <w:locked/>
    <w:rsid w:val="0032072B"/>
    <w:rPr>
      <w:color w:val="62687C" w:themeColor="followedHyperlink"/>
      <w:u w:val="single"/>
    </w:rPr>
  </w:style>
  <w:style w:type="paragraph" w:styleId="z-Formularbeginn">
    <w:name w:val="HTML Top of Form"/>
    <w:basedOn w:val="Standard"/>
    <w:next w:val="Standard"/>
    <w:link w:val="z-FormularbeginnZchn"/>
    <w:hidden/>
    <w:uiPriority w:val="99"/>
    <w:semiHidden/>
    <w:unhideWhenUsed/>
    <w:rsid w:val="001940A6"/>
    <w:pPr>
      <w:pBdr>
        <w:bottom w:val="single" w:sz="6" w:space="1" w:color="auto"/>
      </w:pBdr>
      <w:spacing w:before="0" w:after="0"/>
      <w:jc w:val="center"/>
    </w:pPr>
    <w:rPr>
      <w:rFonts w:ascii="Arial" w:hAnsi="Arial" w:cs="Arial"/>
      <w:vanish/>
      <w:sz w:val="16"/>
      <w:szCs w:val="16"/>
    </w:rPr>
  </w:style>
  <w:style w:type="character" w:customStyle="1" w:styleId="z-FormularbeginnZchn">
    <w:name w:val="z-Formularbeginn Zchn"/>
    <w:basedOn w:val="Absatz-Standardschriftart"/>
    <w:link w:val="z-Formularbeginn"/>
    <w:uiPriority w:val="99"/>
    <w:semiHidden/>
    <w:rsid w:val="001940A6"/>
    <w:rPr>
      <w:rFonts w:ascii="Arial" w:hAnsi="Arial" w:cs="Arial"/>
      <w:vanish/>
      <w:sz w:val="16"/>
      <w:szCs w:val="16"/>
      <w:lang w:val="en-GB"/>
    </w:rPr>
  </w:style>
  <w:style w:type="paragraph" w:styleId="z-Formularende">
    <w:name w:val="HTML Bottom of Form"/>
    <w:basedOn w:val="Standard"/>
    <w:next w:val="Standard"/>
    <w:link w:val="z-FormularendeZchn"/>
    <w:hidden/>
    <w:uiPriority w:val="99"/>
    <w:semiHidden/>
    <w:unhideWhenUsed/>
    <w:rsid w:val="001940A6"/>
    <w:pPr>
      <w:pBdr>
        <w:top w:val="single" w:sz="6" w:space="1" w:color="auto"/>
      </w:pBdr>
      <w:spacing w:before="0" w:after="0"/>
      <w:jc w:val="center"/>
    </w:pPr>
    <w:rPr>
      <w:rFonts w:ascii="Arial" w:hAnsi="Arial" w:cs="Arial"/>
      <w:vanish/>
      <w:sz w:val="16"/>
      <w:szCs w:val="16"/>
    </w:rPr>
  </w:style>
  <w:style w:type="character" w:customStyle="1" w:styleId="z-FormularendeZchn">
    <w:name w:val="z-Formularende Zchn"/>
    <w:basedOn w:val="Absatz-Standardschriftart"/>
    <w:link w:val="z-Formularende"/>
    <w:uiPriority w:val="99"/>
    <w:semiHidden/>
    <w:rsid w:val="001940A6"/>
    <w:rPr>
      <w:rFonts w:ascii="Arial" w:hAnsi="Arial" w:cs="Arial"/>
      <w:vanish/>
      <w:sz w:val="16"/>
      <w:szCs w:val="16"/>
      <w:lang w:val="en-GB"/>
    </w:rPr>
  </w:style>
  <w:style w:type="table" w:styleId="EinfacheTabelle2">
    <w:name w:val="Plain Table 2"/>
    <w:aliases w:val="Key Data Page"/>
    <w:basedOn w:val="NormaleTabelle"/>
    <w:uiPriority w:val="42"/>
    <w:rsid w:val="00D76198"/>
    <w:pPr>
      <w:spacing w:after="0" w:line="240" w:lineRule="auto"/>
    </w:pPr>
    <w:rPr>
      <w:sz w:val="18"/>
    </w:rPr>
    <w:tblPr>
      <w:tblStyleRowBandSize w:val="1"/>
      <w:tblStyleColBandSize w:val="1"/>
      <w:tblBorders>
        <w:top w:val="single" w:sz="4" w:space="0" w:color="auto"/>
        <w:bottom w:val="single" w:sz="4" w:space="0" w:color="auto"/>
      </w:tblBorders>
    </w:tblPr>
    <w:tblStylePr w:type="firstRow">
      <w:rPr>
        <w:rFonts w:ascii="Deutsche Bank Text" w:hAnsi="Deutsche Bank Text"/>
        <w:b w:val="0"/>
        <w:bCs/>
        <w:sz w:val="18"/>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EinfacheTabelle3">
    <w:name w:val="Plain Table 3"/>
    <w:basedOn w:val="NormaleTabelle"/>
    <w:uiPriority w:val="43"/>
    <w:rsid w:val="008B45F1"/>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itternetztabelle1hell">
    <w:name w:val="Grid Table 1 Light"/>
    <w:basedOn w:val="NormaleTabelle"/>
    <w:uiPriority w:val="46"/>
    <w:rsid w:val="008B45F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ListenabsatzZchn">
    <w:name w:val="Listenabsatz Zchn"/>
    <w:aliases w:val="Numbered List Zchn,List Paragraph Main Zchn,List first level Zchn"/>
    <w:basedOn w:val="Absatz-Standardschriftart"/>
    <w:link w:val="Listenabsatz"/>
    <w:uiPriority w:val="34"/>
    <w:locked/>
    <w:rsid w:val="00D93770"/>
    <w:rPr>
      <w:lang w:val="en-GB"/>
    </w:rPr>
  </w:style>
  <w:style w:type="paragraph" w:customStyle="1" w:styleId="StandardafterHeading2">
    <w:name w:val="Standard after Heading 2"/>
    <w:basedOn w:val="Standard"/>
    <w:link w:val="StandardafterHeading2Char"/>
    <w:qFormat/>
    <w:rsid w:val="00B80A0E"/>
    <w:pPr>
      <w:spacing w:before="0" w:after="200" w:line="276" w:lineRule="auto"/>
      <w:ind w:left="576" w:right="-472"/>
      <w:jc w:val="both"/>
    </w:pPr>
    <w:rPr>
      <w:rFonts w:eastAsiaTheme="minorEastAsia" w:cs="Times New Roman"/>
      <w:bCs/>
      <w:sz w:val="22"/>
      <w:lang w:eastAsia="zh-CN"/>
    </w:rPr>
  </w:style>
  <w:style w:type="character" w:customStyle="1" w:styleId="StandardafterHeading2Char">
    <w:name w:val="Standard after Heading 2 Char"/>
    <w:basedOn w:val="Absatz-Standardschriftart"/>
    <w:link w:val="StandardafterHeading2"/>
    <w:rsid w:val="00B80A0E"/>
    <w:rPr>
      <w:rFonts w:eastAsiaTheme="minorEastAsia" w:cs="Times New Roman"/>
      <w:bCs/>
      <w:sz w:val="22"/>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2816822">
      <w:bodyDiv w:val="1"/>
      <w:marLeft w:val="0"/>
      <w:marRight w:val="0"/>
      <w:marTop w:val="0"/>
      <w:marBottom w:val="0"/>
      <w:divBdr>
        <w:top w:val="none" w:sz="0" w:space="0" w:color="auto"/>
        <w:left w:val="none" w:sz="0" w:space="0" w:color="auto"/>
        <w:bottom w:val="none" w:sz="0" w:space="0" w:color="auto"/>
        <w:right w:val="none" w:sz="0" w:space="0" w:color="auto"/>
      </w:divBdr>
      <w:divsChild>
        <w:div w:id="548762222">
          <w:marLeft w:val="0"/>
          <w:marRight w:val="0"/>
          <w:marTop w:val="0"/>
          <w:marBottom w:val="0"/>
          <w:divBdr>
            <w:top w:val="none" w:sz="0" w:space="0" w:color="auto"/>
            <w:left w:val="none" w:sz="0" w:space="0" w:color="auto"/>
            <w:bottom w:val="none" w:sz="0" w:space="0" w:color="auto"/>
            <w:right w:val="none" w:sz="0" w:space="0" w:color="auto"/>
          </w:divBdr>
        </w:div>
      </w:divsChild>
    </w:div>
    <w:div w:id="1211262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DB Policy Template">
      <a:dk1>
        <a:srgbClr val="000000"/>
      </a:dk1>
      <a:lt1>
        <a:srgbClr val="FFFFFF"/>
      </a:lt1>
      <a:dk2>
        <a:srgbClr val="0C2340"/>
      </a:dk2>
      <a:lt2>
        <a:srgbClr val="BDC0D2"/>
      </a:lt2>
      <a:accent1>
        <a:srgbClr val="0018A8"/>
      </a:accent1>
      <a:accent2>
        <a:srgbClr val="0C2340"/>
      </a:accent2>
      <a:accent3>
        <a:srgbClr val="00A8E0"/>
      </a:accent3>
      <a:accent4>
        <a:srgbClr val="4AC9E3"/>
      </a:accent4>
      <a:accent5>
        <a:srgbClr val="5B9BD5"/>
      </a:accent5>
      <a:accent6>
        <a:srgbClr val="B7B09C"/>
      </a:accent6>
      <a:hlink>
        <a:srgbClr val="0B243A"/>
      </a:hlink>
      <a:folHlink>
        <a:srgbClr val="62687C"/>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The purpose of this Document in up to two sentences. It must contain a concise description of what the document seeks to achieve, ensuring that that such description makes clear to which individuals the document is to apply.</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Comments xmlns="c98ae728-f00a-4f44-80b7-4375d552e1e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D96578D90932A242BD3A84B7348F4FB5" ma:contentTypeVersion="14" ma:contentTypeDescription="Create a new document." ma:contentTypeScope="" ma:versionID="93bd67d871b97fdc100412400f1755e5">
  <xsd:schema xmlns:xsd="http://www.w3.org/2001/XMLSchema" xmlns:xs="http://www.w3.org/2001/XMLSchema" xmlns:p="http://schemas.microsoft.com/office/2006/metadata/properties" xmlns:ns1="http://schemas.microsoft.com/sharepoint/v3" xmlns:ns2="c98ae728-f00a-4f44-80b7-4375d552e1ed" xmlns:ns3="c449e60c-93aa-4910-b42c-9942bba454b8" targetNamespace="http://schemas.microsoft.com/office/2006/metadata/properties" ma:root="true" ma:fieldsID="a94415f4875a333304bf0bc9b8e1f077" ns1:_="" ns2:_="" ns3:_="">
    <xsd:import namespace="http://schemas.microsoft.com/sharepoint/v3"/>
    <xsd:import namespace="c98ae728-f00a-4f44-80b7-4375d552e1ed"/>
    <xsd:import namespace="c449e60c-93aa-4910-b42c-9942bba454b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Comme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98ae728-f00a-4f44-80b7-4375d552e1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Comments" ma:index="19" nillable="true" ma:displayName="Comments" ma:format="Dropdown"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449e60c-93aa-4910-b42c-9942bba454b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C066491-2A55-473D-90B2-0818B5C4E0F3}">
  <ds:schemaRefs>
    <ds:schemaRef ds:uri="http://schemas.microsoft.com/office/2006/metadata/properties"/>
    <ds:schemaRef ds:uri="http://schemas.microsoft.com/office/infopath/2007/PartnerControls"/>
    <ds:schemaRef ds:uri="http://schemas.microsoft.com/sharepoint/v3"/>
    <ds:schemaRef ds:uri="c98ae728-f00a-4f44-80b7-4375d552e1ed"/>
  </ds:schemaRefs>
</ds:datastoreItem>
</file>

<file path=customXml/itemProps3.xml><?xml version="1.0" encoding="utf-8"?>
<ds:datastoreItem xmlns:ds="http://schemas.openxmlformats.org/officeDocument/2006/customXml" ds:itemID="{089842C1-6F33-416F-B0C9-B190A0D11358}">
  <ds:schemaRefs>
    <ds:schemaRef ds:uri="http://schemas.microsoft.com/sharepoint/v3/contenttype/forms"/>
  </ds:schemaRefs>
</ds:datastoreItem>
</file>

<file path=customXml/itemProps4.xml><?xml version="1.0" encoding="utf-8"?>
<ds:datastoreItem xmlns:ds="http://schemas.openxmlformats.org/officeDocument/2006/customXml" ds:itemID="{AFEEC326-35E2-47C7-B44A-AABBB6A708BF}">
  <ds:schemaRefs>
    <ds:schemaRef ds:uri="http://schemas.openxmlformats.org/officeDocument/2006/bibliography"/>
  </ds:schemaRefs>
</ds:datastoreItem>
</file>

<file path=customXml/itemProps5.xml><?xml version="1.0" encoding="utf-8"?>
<ds:datastoreItem xmlns:ds="http://schemas.openxmlformats.org/officeDocument/2006/customXml" ds:itemID="{64712B36-0F69-4EA1-9CFA-0B44AEA988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98ae728-f00a-4f44-80b7-4375d552e1ed"/>
    <ds:schemaRef ds:uri="c449e60c-93aa-4910-b42c-9942bba454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5282</Words>
  <Characters>33277</Characters>
  <Application>Microsoft Office Word</Application>
  <DocSecurity>0</DocSecurity>
  <Lines>277</Lines>
  <Paragraphs>76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[Subject Matter] [Policy/Procedure/Key Operating Document] – [functional/geographic/legal entity applicability]</vt:lpstr>
      <vt:lpstr>[Subject Matter] [Policy/Procedure/Key Operating Document] – [functional/geographic/legal entity applicability]</vt:lpstr>
    </vt:vector>
  </TitlesOfParts>
  <Company>Deutsche Bank AG</Company>
  <LinksUpToDate>false</LinksUpToDate>
  <CharactersWithSpaces>38483</CharactersWithSpaces>
  <SharedDoc>false</SharedDoc>
  <HLinks>
    <vt:vector size="60" baseType="variant">
      <vt:variant>
        <vt:i4>1310771</vt:i4>
      </vt:variant>
      <vt:variant>
        <vt:i4>68</vt:i4>
      </vt:variant>
      <vt:variant>
        <vt:i4>0</vt:i4>
      </vt:variant>
      <vt:variant>
        <vt:i4>5</vt:i4>
      </vt:variant>
      <vt:variant>
        <vt:lpwstr/>
      </vt:variant>
      <vt:variant>
        <vt:lpwstr>_Toc106024671</vt:lpwstr>
      </vt:variant>
      <vt:variant>
        <vt:i4>1114167</vt:i4>
      </vt:variant>
      <vt:variant>
        <vt:i4>50</vt:i4>
      </vt:variant>
      <vt:variant>
        <vt:i4>0</vt:i4>
      </vt:variant>
      <vt:variant>
        <vt:i4>5</vt:i4>
      </vt:variant>
      <vt:variant>
        <vt:lpwstr/>
      </vt:variant>
      <vt:variant>
        <vt:lpwstr>_Toc106026200</vt:lpwstr>
      </vt:variant>
      <vt:variant>
        <vt:i4>1572916</vt:i4>
      </vt:variant>
      <vt:variant>
        <vt:i4>44</vt:i4>
      </vt:variant>
      <vt:variant>
        <vt:i4>0</vt:i4>
      </vt:variant>
      <vt:variant>
        <vt:i4>5</vt:i4>
      </vt:variant>
      <vt:variant>
        <vt:lpwstr/>
      </vt:variant>
      <vt:variant>
        <vt:lpwstr>_Toc106026199</vt:lpwstr>
      </vt:variant>
      <vt:variant>
        <vt:i4>1572916</vt:i4>
      </vt:variant>
      <vt:variant>
        <vt:i4>38</vt:i4>
      </vt:variant>
      <vt:variant>
        <vt:i4>0</vt:i4>
      </vt:variant>
      <vt:variant>
        <vt:i4>5</vt:i4>
      </vt:variant>
      <vt:variant>
        <vt:lpwstr/>
      </vt:variant>
      <vt:variant>
        <vt:lpwstr>_Toc106026198</vt:lpwstr>
      </vt:variant>
      <vt:variant>
        <vt:i4>1572916</vt:i4>
      </vt:variant>
      <vt:variant>
        <vt:i4>32</vt:i4>
      </vt:variant>
      <vt:variant>
        <vt:i4>0</vt:i4>
      </vt:variant>
      <vt:variant>
        <vt:i4>5</vt:i4>
      </vt:variant>
      <vt:variant>
        <vt:lpwstr/>
      </vt:variant>
      <vt:variant>
        <vt:lpwstr>_Toc106026197</vt:lpwstr>
      </vt:variant>
      <vt:variant>
        <vt:i4>1572916</vt:i4>
      </vt:variant>
      <vt:variant>
        <vt:i4>26</vt:i4>
      </vt:variant>
      <vt:variant>
        <vt:i4>0</vt:i4>
      </vt:variant>
      <vt:variant>
        <vt:i4>5</vt:i4>
      </vt:variant>
      <vt:variant>
        <vt:lpwstr/>
      </vt:variant>
      <vt:variant>
        <vt:lpwstr>_Toc106026196</vt:lpwstr>
      </vt:variant>
      <vt:variant>
        <vt:i4>1572916</vt:i4>
      </vt:variant>
      <vt:variant>
        <vt:i4>20</vt:i4>
      </vt:variant>
      <vt:variant>
        <vt:i4>0</vt:i4>
      </vt:variant>
      <vt:variant>
        <vt:i4>5</vt:i4>
      </vt:variant>
      <vt:variant>
        <vt:lpwstr/>
      </vt:variant>
      <vt:variant>
        <vt:lpwstr>_Toc106026195</vt:lpwstr>
      </vt:variant>
      <vt:variant>
        <vt:i4>1572916</vt:i4>
      </vt:variant>
      <vt:variant>
        <vt:i4>14</vt:i4>
      </vt:variant>
      <vt:variant>
        <vt:i4>0</vt:i4>
      </vt:variant>
      <vt:variant>
        <vt:i4>5</vt:i4>
      </vt:variant>
      <vt:variant>
        <vt:lpwstr/>
      </vt:variant>
      <vt:variant>
        <vt:lpwstr>_Toc106026194</vt:lpwstr>
      </vt:variant>
      <vt:variant>
        <vt:i4>1572916</vt:i4>
      </vt:variant>
      <vt:variant>
        <vt:i4>8</vt:i4>
      </vt:variant>
      <vt:variant>
        <vt:i4>0</vt:i4>
      </vt:variant>
      <vt:variant>
        <vt:i4>5</vt:i4>
      </vt:variant>
      <vt:variant>
        <vt:lpwstr/>
      </vt:variant>
      <vt:variant>
        <vt:lpwstr>_Toc106026193</vt:lpwstr>
      </vt:variant>
      <vt:variant>
        <vt:i4>1572916</vt:i4>
      </vt:variant>
      <vt:variant>
        <vt:i4>2</vt:i4>
      </vt:variant>
      <vt:variant>
        <vt:i4>0</vt:i4>
      </vt:variant>
      <vt:variant>
        <vt:i4>5</vt:i4>
      </vt:variant>
      <vt:variant>
        <vt:lpwstr/>
      </vt:variant>
      <vt:variant>
        <vt:lpwstr>_Toc106026192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[Subject Matter] [Policy/Procedure/Key Operating Document] – [functional/geographic/legal entity applicability]</dc:title>
  <dc:subject>The purpose of this Document in up to two sentences. It must contain a concise description of what the document seeks to achieve, ensuring that that such description makes clear to which individuals the document is to apply.</dc:subject>
  <dc:creator>Policy Governance Group</dc:creator>
  <cp:keywords>Public</cp:keywords>
  <dc:description/>
  <cp:lastModifiedBy>Jens Tangemann</cp:lastModifiedBy>
  <cp:revision>5</cp:revision>
  <cp:lastPrinted>2022-09-15T06:58:00Z</cp:lastPrinted>
  <dcterms:created xsi:type="dcterms:W3CDTF">2025-12-10T11:19:00Z</dcterms:created>
  <dcterms:modified xsi:type="dcterms:W3CDTF">2025-12-22T09:57:00Z</dcterms:modified>
  <cp:category>[Group Policy/Group Procedure/Non-Group Policy/Non-Group Procedure/Key Operating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0x010100D96578D90932A242BD3A84B7348F4FB5</vt:lpwstr>
  </property>
  <property fmtid="{D5CDD505-2E9C-101B-9397-08002B2CF9AE}" pid="3" name="Version">
    <vt:lpwstr>3.01</vt:lpwstr>
  </property>
  <property fmtid="{D5CDD505-2E9C-101B-9397-08002B2CF9AE}" pid="4" name="Template author">
    <vt:lpwstr>Thomas &amp; Marc (CSO)</vt:lpwstr>
  </property>
  <property fmtid="{D5CDD505-2E9C-101B-9397-08002B2CF9AE}" pid="5" name="MSIP_Label_af1741f6-9e47-426e-a683-937c37d4ebc5_Enabled">
    <vt:lpwstr>true</vt:lpwstr>
  </property>
  <property fmtid="{D5CDD505-2E9C-101B-9397-08002B2CF9AE}" pid="6" name="MSIP_Label_af1741f6-9e47-426e-a683-937c37d4ebc5_SetDate">
    <vt:lpwstr>2023-07-26T14:59:27Z</vt:lpwstr>
  </property>
  <property fmtid="{D5CDD505-2E9C-101B-9397-08002B2CF9AE}" pid="7" name="MSIP_Label_af1741f6-9e47-426e-a683-937c37d4ebc5_Method">
    <vt:lpwstr>Privileged</vt:lpwstr>
  </property>
  <property fmtid="{D5CDD505-2E9C-101B-9397-08002B2CF9AE}" pid="8" name="MSIP_Label_af1741f6-9e47-426e-a683-937c37d4ebc5_Name">
    <vt:lpwstr>af1741f6-9e47-426e-a683-937c37d4ebc5</vt:lpwstr>
  </property>
  <property fmtid="{D5CDD505-2E9C-101B-9397-08002B2CF9AE}" pid="9" name="MSIP_Label_af1741f6-9e47-426e-a683-937c37d4ebc5_SiteId">
    <vt:lpwstr>1e9b61e8-e590-4abc-b1af-24125e330d2a</vt:lpwstr>
  </property>
  <property fmtid="{D5CDD505-2E9C-101B-9397-08002B2CF9AE}" pid="10" name="MSIP_Label_af1741f6-9e47-426e-a683-937c37d4ebc5_ActionId">
    <vt:lpwstr>3f173fb0-5b6a-4eae-9fc5-140fcd73afec</vt:lpwstr>
  </property>
  <property fmtid="{D5CDD505-2E9C-101B-9397-08002B2CF9AE}" pid="11" name="MSIP_Label_af1741f6-9e47-426e-a683-937c37d4ebc5_ContentBits">
    <vt:lpwstr>3</vt:lpwstr>
  </property>
  <property fmtid="{D5CDD505-2E9C-101B-9397-08002B2CF9AE}" pid="12" name="db.comClassification">
    <vt:lpwstr>For internal use only</vt:lpwstr>
  </property>
</Properties>
</file>