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FC5C" w14:textId="11D9ADB7" w:rsidR="00C110FF" w:rsidRPr="00C12D52" w:rsidRDefault="00182EA8" w:rsidP="0037529E">
      <w:pPr>
        <w:pStyle w:val="DocumentCategory"/>
      </w:pPr>
      <w:r w:rsidRPr="00C12D52">
        <w:t xml:space="preserve">Non-Group </w:t>
      </w:r>
      <w:r w:rsidR="00CE442A" w:rsidRPr="00C12D52">
        <w:t>Policy</w:t>
      </w:r>
    </w:p>
    <w:p w14:paraId="527D5FE5" w14:textId="7FACCC05" w:rsidR="00C771A7" w:rsidRPr="00C12D52" w:rsidRDefault="00CE442A" w:rsidP="00E55D19">
      <w:pPr>
        <w:pStyle w:val="DocumentTitle"/>
      </w:pPr>
      <w:r w:rsidRPr="00C12D52">
        <w:t xml:space="preserve">Capital Markets Allocation Policy </w:t>
      </w:r>
      <w:r w:rsidR="005E081B" w:rsidRPr="00C12D52">
        <w:t xml:space="preserve">– </w:t>
      </w:r>
      <w:r w:rsidRPr="00C12D52">
        <w:t>Investment and Corporate Bank – EMEA (incl. UKI and Germany) and APAC</w:t>
      </w:r>
      <w:r w:rsidR="00442F93" w:rsidRPr="00C12D52">
        <w:br w:type="page"/>
      </w:r>
    </w:p>
    <w:sdt>
      <w:sdtPr>
        <w:rPr>
          <w:rFonts w:ascii="Deutsche Bank Text" w:eastAsiaTheme="minorHAnsi" w:hAnsi="Deutsche Bank Text" w:cstheme="minorBidi"/>
          <w:color w:val="auto"/>
          <w:sz w:val="20"/>
          <w:szCs w:val="22"/>
        </w:rPr>
        <w:id w:val="-1680041138"/>
        <w:docPartObj>
          <w:docPartGallery w:val="Table of Contents"/>
          <w:docPartUnique/>
        </w:docPartObj>
      </w:sdtPr>
      <w:sdtEndPr>
        <w:rPr>
          <w:b/>
          <w:bCs/>
          <w:noProof/>
          <w:szCs w:val="20"/>
        </w:rPr>
      </w:sdtEndPr>
      <w:sdtContent>
        <w:p w14:paraId="3205FD81" w14:textId="7A7985E8" w:rsidR="00505DFF" w:rsidRPr="00C12D52" w:rsidRDefault="00505DFF" w:rsidP="004A35AF">
          <w:pPr>
            <w:pStyle w:val="Inhaltsverzeichnisberschrift"/>
            <w:spacing w:after="120"/>
            <w:rPr>
              <w:rFonts w:ascii="Deutsche Bank Text" w:hAnsi="Deutsche Bank Text" w:cs="Deutsche Bank Text"/>
            </w:rPr>
          </w:pPr>
          <w:r w:rsidRPr="00C12D52">
            <w:rPr>
              <w:rFonts w:ascii="Deutsche Bank Text" w:hAnsi="Deutsche Bank Text" w:cs="Deutsche Bank Text"/>
            </w:rPr>
            <w:t>Contents</w:t>
          </w:r>
        </w:p>
        <w:p w14:paraId="56E3A5E1" w14:textId="6B5F1EA4" w:rsidR="00CA4D62" w:rsidRPr="00C12D52" w:rsidRDefault="0081024E">
          <w:pPr>
            <w:pStyle w:val="Verzeichnis1"/>
            <w:rPr>
              <w:rFonts w:asciiTheme="minorHAnsi" w:eastAsiaTheme="minorEastAsia" w:hAnsiTheme="minorHAnsi"/>
              <w:noProof/>
              <w:sz w:val="22"/>
              <w:szCs w:val="22"/>
            </w:rPr>
          </w:pPr>
          <w:r w:rsidRPr="00C12D52">
            <w:fldChar w:fldCharType="begin"/>
          </w:r>
          <w:r w:rsidRPr="00C12D52">
            <w:instrText xml:space="preserve"> TOC \o "1-3" \h \z \u </w:instrText>
          </w:r>
          <w:r w:rsidRPr="00C12D52">
            <w:fldChar w:fldCharType="separate"/>
          </w:r>
          <w:hyperlink w:anchor="_Toc152235914" w:history="1">
            <w:r w:rsidR="00CA4D62" w:rsidRPr="00C12D52">
              <w:rPr>
                <w:rStyle w:val="Hyperlink"/>
                <w:noProof/>
              </w:rPr>
              <w:t>1.</w:t>
            </w:r>
            <w:r w:rsidR="00CA4D62" w:rsidRPr="00C12D52">
              <w:rPr>
                <w:rFonts w:asciiTheme="minorHAnsi" w:eastAsiaTheme="minorEastAsia" w:hAnsiTheme="minorHAnsi"/>
                <w:noProof/>
                <w:sz w:val="22"/>
                <w:szCs w:val="22"/>
              </w:rPr>
              <w:tab/>
            </w:r>
            <w:r w:rsidR="00CA4D62" w:rsidRPr="00C12D52">
              <w:rPr>
                <w:rStyle w:val="Hyperlink"/>
                <w:noProof/>
              </w:rPr>
              <w:t>Scope</w:t>
            </w:r>
            <w:r w:rsidR="00CA4D62" w:rsidRPr="00C12D52">
              <w:rPr>
                <w:noProof/>
                <w:webHidden/>
              </w:rPr>
              <w:tab/>
            </w:r>
            <w:r w:rsidR="00CA4D62" w:rsidRPr="00C12D52">
              <w:rPr>
                <w:noProof/>
                <w:webHidden/>
              </w:rPr>
              <w:fldChar w:fldCharType="begin"/>
            </w:r>
            <w:r w:rsidR="00CA4D62" w:rsidRPr="00C12D52">
              <w:rPr>
                <w:noProof/>
                <w:webHidden/>
              </w:rPr>
              <w:instrText xml:space="preserve"> PAGEREF _Toc152235914 \h </w:instrText>
            </w:r>
            <w:r w:rsidR="00CA4D62" w:rsidRPr="00C12D52">
              <w:rPr>
                <w:noProof/>
                <w:webHidden/>
              </w:rPr>
            </w:r>
            <w:r w:rsidR="00CA4D62" w:rsidRPr="00C12D52">
              <w:rPr>
                <w:noProof/>
                <w:webHidden/>
              </w:rPr>
              <w:fldChar w:fldCharType="separate"/>
            </w:r>
            <w:r w:rsidR="001246A8">
              <w:rPr>
                <w:noProof/>
                <w:webHidden/>
              </w:rPr>
              <w:t>3</w:t>
            </w:r>
            <w:r w:rsidR="00CA4D62" w:rsidRPr="00C12D52">
              <w:rPr>
                <w:noProof/>
                <w:webHidden/>
              </w:rPr>
              <w:fldChar w:fldCharType="end"/>
            </w:r>
          </w:hyperlink>
        </w:p>
        <w:p w14:paraId="765F7C35" w14:textId="2EA2DD6C" w:rsidR="00CA4D62" w:rsidRPr="00C12D52" w:rsidRDefault="00CA4D62">
          <w:pPr>
            <w:pStyle w:val="Verzeichnis1"/>
            <w:rPr>
              <w:rFonts w:asciiTheme="minorHAnsi" w:eastAsiaTheme="minorEastAsia" w:hAnsiTheme="minorHAnsi"/>
              <w:noProof/>
              <w:sz w:val="22"/>
              <w:szCs w:val="22"/>
            </w:rPr>
          </w:pPr>
          <w:hyperlink w:anchor="_Toc152235915" w:history="1">
            <w:r w:rsidRPr="00C12D52">
              <w:rPr>
                <w:rStyle w:val="Hyperlink"/>
                <w:noProof/>
              </w:rPr>
              <w:t>2.</w:t>
            </w:r>
            <w:r w:rsidRPr="00C12D52">
              <w:rPr>
                <w:rFonts w:asciiTheme="minorHAnsi" w:eastAsiaTheme="minorEastAsia" w:hAnsiTheme="minorHAnsi"/>
                <w:noProof/>
                <w:sz w:val="22"/>
                <w:szCs w:val="22"/>
              </w:rPr>
              <w:tab/>
            </w:r>
            <w:r w:rsidRPr="00C12D52">
              <w:rPr>
                <w:rStyle w:val="Hyperlink"/>
                <w:noProof/>
              </w:rPr>
              <w:t>Objective &amp; Applicability</w:t>
            </w:r>
            <w:r w:rsidRPr="00C12D52">
              <w:rPr>
                <w:noProof/>
                <w:webHidden/>
              </w:rPr>
              <w:tab/>
            </w:r>
            <w:r w:rsidRPr="00C12D52">
              <w:rPr>
                <w:noProof/>
                <w:webHidden/>
              </w:rPr>
              <w:fldChar w:fldCharType="begin"/>
            </w:r>
            <w:r w:rsidRPr="00C12D52">
              <w:rPr>
                <w:noProof/>
                <w:webHidden/>
              </w:rPr>
              <w:instrText xml:space="preserve"> PAGEREF _Toc152235915 \h </w:instrText>
            </w:r>
            <w:r w:rsidRPr="00C12D52">
              <w:rPr>
                <w:noProof/>
                <w:webHidden/>
              </w:rPr>
            </w:r>
            <w:r w:rsidRPr="00C12D52">
              <w:rPr>
                <w:noProof/>
                <w:webHidden/>
              </w:rPr>
              <w:fldChar w:fldCharType="separate"/>
            </w:r>
            <w:r w:rsidR="001246A8">
              <w:rPr>
                <w:noProof/>
                <w:webHidden/>
              </w:rPr>
              <w:t>3</w:t>
            </w:r>
            <w:r w:rsidRPr="00C12D52">
              <w:rPr>
                <w:noProof/>
                <w:webHidden/>
              </w:rPr>
              <w:fldChar w:fldCharType="end"/>
            </w:r>
          </w:hyperlink>
        </w:p>
        <w:p w14:paraId="482CE46E" w14:textId="01C0F72A" w:rsidR="00CA4D62" w:rsidRPr="00C12D52" w:rsidRDefault="00CA4D62">
          <w:pPr>
            <w:pStyle w:val="Verzeichnis2"/>
            <w:rPr>
              <w:rFonts w:asciiTheme="minorHAnsi" w:eastAsiaTheme="minorEastAsia" w:hAnsiTheme="minorHAnsi"/>
              <w:noProof/>
              <w:sz w:val="22"/>
              <w:szCs w:val="22"/>
            </w:rPr>
          </w:pPr>
          <w:hyperlink w:anchor="_Toc152235916" w:history="1">
            <w:r w:rsidRPr="00C12D52">
              <w:rPr>
                <w:rStyle w:val="Hyperlink"/>
                <w:noProof/>
              </w:rPr>
              <w:t>2.1.</w:t>
            </w:r>
            <w:r w:rsidRPr="00C12D52">
              <w:rPr>
                <w:rFonts w:asciiTheme="minorHAnsi" w:eastAsiaTheme="minorEastAsia" w:hAnsiTheme="minorHAnsi"/>
                <w:noProof/>
                <w:sz w:val="22"/>
                <w:szCs w:val="22"/>
              </w:rPr>
              <w:tab/>
            </w:r>
            <w:r w:rsidRPr="00C12D52">
              <w:rPr>
                <w:rStyle w:val="Hyperlink"/>
                <w:noProof/>
              </w:rPr>
              <w:t>Objective</w:t>
            </w:r>
            <w:r w:rsidRPr="00C12D52">
              <w:rPr>
                <w:noProof/>
                <w:webHidden/>
              </w:rPr>
              <w:tab/>
            </w:r>
            <w:r w:rsidRPr="00C12D52">
              <w:rPr>
                <w:noProof/>
                <w:webHidden/>
              </w:rPr>
              <w:fldChar w:fldCharType="begin"/>
            </w:r>
            <w:r w:rsidRPr="00C12D52">
              <w:rPr>
                <w:noProof/>
                <w:webHidden/>
              </w:rPr>
              <w:instrText xml:space="preserve"> PAGEREF _Toc152235916 \h </w:instrText>
            </w:r>
            <w:r w:rsidRPr="00C12D52">
              <w:rPr>
                <w:noProof/>
                <w:webHidden/>
              </w:rPr>
            </w:r>
            <w:r w:rsidRPr="00C12D52">
              <w:rPr>
                <w:noProof/>
                <w:webHidden/>
              </w:rPr>
              <w:fldChar w:fldCharType="separate"/>
            </w:r>
            <w:r w:rsidR="001246A8">
              <w:rPr>
                <w:noProof/>
                <w:webHidden/>
              </w:rPr>
              <w:t>3</w:t>
            </w:r>
            <w:r w:rsidRPr="00C12D52">
              <w:rPr>
                <w:noProof/>
                <w:webHidden/>
              </w:rPr>
              <w:fldChar w:fldCharType="end"/>
            </w:r>
          </w:hyperlink>
        </w:p>
        <w:p w14:paraId="7D442E71" w14:textId="636969EB" w:rsidR="00CA4D62" w:rsidRPr="00C12D52" w:rsidRDefault="00CA4D62">
          <w:pPr>
            <w:pStyle w:val="Verzeichnis2"/>
            <w:rPr>
              <w:rFonts w:asciiTheme="minorHAnsi" w:eastAsiaTheme="minorEastAsia" w:hAnsiTheme="minorHAnsi"/>
              <w:noProof/>
              <w:sz w:val="22"/>
              <w:szCs w:val="22"/>
            </w:rPr>
          </w:pPr>
          <w:hyperlink w:anchor="_Toc152235917" w:history="1">
            <w:r w:rsidRPr="00C12D52">
              <w:rPr>
                <w:rStyle w:val="Hyperlink"/>
                <w:noProof/>
              </w:rPr>
              <w:t>2.2.</w:t>
            </w:r>
            <w:r w:rsidRPr="00C12D52">
              <w:rPr>
                <w:rFonts w:asciiTheme="minorHAnsi" w:eastAsiaTheme="minorEastAsia" w:hAnsiTheme="minorHAnsi"/>
                <w:noProof/>
                <w:sz w:val="22"/>
                <w:szCs w:val="22"/>
              </w:rPr>
              <w:tab/>
            </w:r>
            <w:r w:rsidRPr="00C12D52">
              <w:rPr>
                <w:rStyle w:val="Hyperlink"/>
                <w:noProof/>
              </w:rPr>
              <w:t>Applicability</w:t>
            </w:r>
            <w:r w:rsidRPr="00C12D52">
              <w:rPr>
                <w:noProof/>
                <w:webHidden/>
              </w:rPr>
              <w:tab/>
            </w:r>
            <w:r w:rsidRPr="00C12D52">
              <w:rPr>
                <w:noProof/>
                <w:webHidden/>
              </w:rPr>
              <w:fldChar w:fldCharType="begin"/>
            </w:r>
            <w:r w:rsidRPr="00C12D52">
              <w:rPr>
                <w:noProof/>
                <w:webHidden/>
              </w:rPr>
              <w:instrText xml:space="preserve"> PAGEREF _Toc152235917 \h </w:instrText>
            </w:r>
            <w:r w:rsidRPr="00C12D52">
              <w:rPr>
                <w:noProof/>
                <w:webHidden/>
              </w:rPr>
            </w:r>
            <w:r w:rsidRPr="00C12D52">
              <w:rPr>
                <w:noProof/>
                <w:webHidden/>
              </w:rPr>
              <w:fldChar w:fldCharType="separate"/>
            </w:r>
            <w:r w:rsidR="001246A8">
              <w:rPr>
                <w:noProof/>
                <w:webHidden/>
              </w:rPr>
              <w:t>3</w:t>
            </w:r>
            <w:r w:rsidRPr="00C12D52">
              <w:rPr>
                <w:noProof/>
                <w:webHidden/>
              </w:rPr>
              <w:fldChar w:fldCharType="end"/>
            </w:r>
          </w:hyperlink>
        </w:p>
        <w:p w14:paraId="3BB6A720" w14:textId="55BE22C3" w:rsidR="00CA4D62" w:rsidRPr="00C12D52" w:rsidRDefault="00CA4D62">
          <w:pPr>
            <w:pStyle w:val="Verzeichnis1"/>
            <w:rPr>
              <w:rFonts w:asciiTheme="minorHAnsi" w:eastAsiaTheme="minorEastAsia" w:hAnsiTheme="minorHAnsi"/>
              <w:noProof/>
              <w:sz w:val="22"/>
              <w:szCs w:val="22"/>
            </w:rPr>
          </w:pPr>
          <w:hyperlink w:anchor="_Toc152235918" w:history="1">
            <w:r w:rsidRPr="00C12D52">
              <w:rPr>
                <w:rStyle w:val="Hyperlink"/>
                <w:noProof/>
              </w:rPr>
              <w:t>3.</w:t>
            </w:r>
            <w:r w:rsidRPr="00C12D52">
              <w:rPr>
                <w:rFonts w:asciiTheme="minorHAnsi" w:eastAsiaTheme="minorEastAsia" w:hAnsiTheme="minorHAnsi"/>
                <w:noProof/>
                <w:sz w:val="22"/>
                <w:szCs w:val="22"/>
              </w:rPr>
              <w:tab/>
            </w:r>
            <w:r w:rsidRPr="00C12D52">
              <w:rPr>
                <w:rStyle w:val="Hyperlink"/>
                <w:noProof/>
              </w:rPr>
              <w:t>Investor Selection for Marketing and Allocations</w:t>
            </w:r>
            <w:r w:rsidRPr="00C12D52">
              <w:rPr>
                <w:noProof/>
                <w:webHidden/>
              </w:rPr>
              <w:tab/>
            </w:r>
            <w:r w:rsidRPr="00C12D52">
              <w:rPr>
                <w:noProof/>
                <w:webHidden/>
              </w:rPr>
              <w:fldChar w:fldCharType="begin"/>
            </w:r>
            <w:r w:rsidRPr="00C12D52">
              <w:rPr>
                <w:noProof/>
                <w:webHidden/>
              </w:rPr>
              <w:instrText xml:space="preserve"> PAGEREF _Toc152235918 \h </w:instrText>
            </w:r>
            <w:r w:rsidRPr="00C12D52">
              <w:rPr>
                <w:noProof/>
                <w:webHidden/>
              </w:rPr>
            </w:r>
            <w:r w:rsidRPr="00C12D52">
              <w:rPr>
                <w:noProof/>
                <w:webHidden/>
              </w:rPr>
              <w:fldChar w:fldCharType="separate"/>
            </w:r>
            <w:r w:rsidR="001246A8">
              <w:rPr>
                <w:noProof/>
                <w:webHidden/>
              </w:rPr>
              <w:t>3</w:t>
            </w:r>
            <w:r w:rsidRPr="00C12D52">
              <w:rPr>
                <w:noProof/>
                <w:webHidden/>
              </w:rPr>
              <w:fldChar w:fldCharType="end"/>
            </w:r>
          </w:hyperlink>
        </w:p>
        <w:p w14:paraId="69365D0D" w14:textId="48CE71C0" w:rsidR="00CA4D62" w:rsidRPr="00C12D52" w:rsidRDefault="00CA4D62">
          <w:pPr>
            <w:pStyle w:val="Verzeichnis2"/>
            <w:rPr>
              <w:rFonts w:asciiTheme="minorHAnsi" w:eastAsiaTheme="minorEastAsia" w:hAnsiTheme="minorHAnsi"/>
              <w:noProof/>
              <w:sz w:val="22"/>
              <w:szCs w:val="22"/>
            </w:rPr>
          </w:pPr>
          <w:hyperlink w:anchor="_Toc152235919" w:history="1">
            <w:r w:rsidRPr="00C12D52">
              <w:rPr>
                <w:rStyle w:val="Hyperlink"/>
                <w:noProof/>
              </w:rPr>
              <w:t>3.1.</w:t>
            </w:r>
            <w:r w:rsidRPr="00C12D52">
              <w:rPr>
                <w:rFonts w:asciiTheme="minorHAnsi" w:eastAsiaTheme="minorEastAsia" w:hAnsiTheme="minorHAnsi"/>
                <w:noProof/>
                <w:sz w:val="22"/>
                <w:szCs w:val="22"/>
              </w:rPr>
              <w:tab/>
            </w:r>
            <w:r w:rsidRPr="00C12D52">
              <w:rPr>
                <w:rStyle w:val="Hyperlink"/>
                <w:noProof/>
              </w:rPr>
              <w:t>Investor Selection Criteria</w:t>
            </w:r>
            <w:r w:rsidRPr="00C12D52">
              <w:rPr>
                <w:noProof/>
                <w:webHidden/>
              </w:rPr>
              <w:tab/>
            </w:r>
            <w:r w:rsidRPr="00C12D52">
              <w:rPr>
                <w:noProof/>
                <w:webHidden/>
              </w:rPr>
              <w:fldChar w:fldCharType="begin"/>
            </w:r>
            <w:r w:rsidRPr="00C12D52">
              <w:rPr>
                <w:noProof/>
                <w:webHidden/>
              </w:rPr>
              <w:instrText xml:space="preserve"> PAGEREF _Toc152235919 \h </w:instrText>
            </w:r>
            <w:r w:rsidRPr="00C12D52">
              <w:rPr>
                <w:noProof/>
                <w:webHidden/>
              </w:rPr>
            </w:r>
            <w:r w:rsidRPr="00C12D52">
              <w:rPr>
                <w:noProof/>
                <w:webHidden/>
              </w:rPr>
              <w:fldChar w:fldCharType="separate"/>
            </w:r>
            <w:r w:rsidR="001246A8">
              <w:rPr>
                <w:noProof/>
                <w:webHidden/>
              </w:rPr>
              <w:t>3</w:t>
            </w:r>
            <w:r w:rsidRPr="00C12D52">
              <w:rPr>
                <w:noProof/>
                <w:webHidden/>
              </w:rPr>
              <w:fldChar w:fldCharType="end"/>
            </w:r>
          </w:hyperlink>
        </w:p>
        <w:p w14:paraId="659CA12C" w14:textId="0BCCD299" w:rsidR="00CA4D62" w:rsidRPr="00C12D52" w:rsidRDefault="00CA4D62">
          <w:pPr>
            <w:pStyle w:val="Verzeichnis1"/>
            <w:rPr>
              <w:rFonts w:asciiTheme="minorHAnsi" w:eastAsiaTheme="minorEastAsia" w:hAnsiTheme="minorHAnsi"/>
              <w:noProof/>
              <w:sz w:val="22"/>
              <w:szCs w:val="22"/>
            </w:rPr>
          </w:pPr>
          <w:hyperlink w:anchor="_Toc152235920" w:history="1">
            <w:r w:rsidRPr="00C12D52">
              <w:rPr>
                <w:rStyle w:val="Hyperlink"/>
                <w:noProof/>
              </w:rPr>
              <w:t>4.</w:t>
            </w:r>
            <w:r w:rsidRPr="00C12D52">
              <w:rPr>
                <w:rFonts w:asciiTheme="minorHAnsi" w:eastAsiaTheme="minorEastAsia" w:hAnsiTheme="minorHAnsi"/>
                <w:noProof/>
                <w:sz w:val="22"/>
                <w:szCs w:val="22"/>
              </w:rPr>
              <w:tab/>
            </w:r>
            <w:r w:rsidRPr="00C12D52">
              <w:rPr>
                <w:rStyle w:val="Hyperlink"/>
                <w:noProof/>
              </w:rPr>
              <w:t>Allocation Process</w:t>
            </w:r>
            <w:r w:rsidRPr="00C12D52">
              <w:rPr>
                <w:noProof/>
                <w:webHidden/>
              </w:rPr>
              <w:tab/>
            </w:r>
            <w:r w:rsidRPr="00C12D52">
              <w:rPr>
                <w:noProof/>
                <w:webHidden/>
              </w:rPr>
              <w:fldChar w:fldCharType="begin"/>
            </w:r>
            <w:r w:rsidRPr="00C12D52">
              <w:rPr>
                <w:noProof/>
                <w:webHidden/>
              </w:rPr>
              <w:instrText xml:space="preserve"> PAGEREF _Toc152235920 \h </w:instrText>
            </w:r>
            <w:r w:rsidRPr="00C12D52">
              <w:rPr>
                <w:noProof/>
                <w:webHidden/>
              </w:rPr>
            </w:r>
            <w:r w:rsidRPr="00C12D52">
              <w:rPr>
                <w:noProof/>
                <w:webHidden/>
              </w:rPr>
              <w:fldChar w:fldCharType="separate"/>
            </w:r>
            <w:r w:rsidR="001246A8">
              <w:rPr>
                <w:noProof/>
                <w:webHidden/>
              </w:rPr>
              <w:t>3</w:t>
            </w:r>
            <w:r w:rsidRPr="00C12D52">
              <w:rPr>
                <w:noProof/>
                <w:webHidden/>
              </w:rPr>
              <w:fldChar w:fldCharType="end"/>
            </w:r>
          </w:hyperlink>
        </w:p>
        <w:p w14:paraId="44E012F0" w14:textId="68853E58" w:rsidR="00CA4D62" w:rsidRPr="00C12D52" w:rsidRDefault="00CA4D62">
          <w:pPr>
            <w:pStyle w:val="Verzeichnis2"/>
            <w:rPr>
              <w:rFonts w:asciiTheme="minorHAnsi" w:eastAsiaTheme="minorEastAsia" w:hAnsiTheme="minorHAnsi"/>
              <w:noProof/>
              <w:sz w:val="22"/>
              <w:szCs w:val="22"/>
            </w:rPr>
          </w:pPr>
          <w:hyperlink w:anchor="_Toc152235921" w:history="1">
            <w:r w:rsidRPr="00C12D52">
              <w:rPr>
                <w:rStyle w:val="Hyperlink"/>
                <w:noProof/>
              </w:rPr>
              <w:t>4.1.</w:t>
            </w:r>
            <w:r w:rsidRPr="00C12D52">
              <w:rPr>
                <w:rFonts w:asciiTheme="minorHAnsi" w:eastAsiaTheme="minorEastAsia" w:hAnsiTheme="minorHAnsi"/>
                <w:noProof/>
                <w:sz w:val="22"/>
                <w:szCs w:val="22"/>
              </w:rPr>
              <w:tab/>
            </w:r>
            <w:r w:rsidRPr="00C12D52">
              <w:rPr>
                <w:rStyle w:val="Hyperlink"/>
                <w:noProof/>
              </w:rPr>
              <w:t>Allocation Process Steps</w:t>
            </w:r>
            <w:r w:rsidRPr="00C12D52">
              <w:rPr>
                <w:noProof/>
                <w:webHidden/>
              </w:rPr>
              <w:tab/>
            </w:r>
            <w:r w:rsidRPr="00C12D52">
              <w:rPr>
                <w:noProof/>
                <w:webHidden/>
              </w:rPr>
              <w:fldChar w:fldCharType="begin"/>
            </w:r>
            <w:r w:rsidRPr="00C12D52">
              <w:rPr>
                <w:noProof/>
                <w:webHidden/>
              </w:rPr>
              <w:instrText xml:space="preserve"> PAGEREF _Toc152235921 \h </w:instrText>
            </w:r>
            <w:r w:rsidRPr="00C12D52">
              <w:rPr>
                <w:noProof/>
                <w:webHidden/>
              </w:rPr>
            </w:r>
            <w:r w:rsidRPr="00C12D52">
              <w:rPr>
                <w:noProof/>
                <w:webHidden/>
              </w:rPr>
              <w:fldChar w:fldCharType="separate"/>
            </w:r>
            <w:r w:rsidR="001246A8">
              <w:rPr>
                <w:noProof/>
                <w:webHidden/>
              </w:rPr>
              <w:t>5</w:t>
            </w:r>
            <w:r w:rsidRPr="00C12D52">
              <w:rPr>
                <w:noProof/>
                <w:webHidden/>
              </w:rPr>
              <w:fldChar w:fldCharType="end"/>
            </w:r>
          </w:hyperlink>
        </w:p>
        <w:p w14:paraId="634367FD" w14:textId="06FB1498" w:rsidR="00CA4D62" w:rsidRPr="00C12D52" w:rsidRDefault="00CA4D62">
          <w:pPr>
            <w:pStyle w:val="Verzeichnis2"/>
            <w:rPr>
              <w:rFonts w:asciiTheme="minorHAnsi" w:eastAsiaTheme="minorEastAsia" w:hAnsiTheme="minorHAnsi"/>
              <w:noProof/>
              <w:sz w:val="22"/>
              <w:szCs w:val="22"/>
            </w:rPr>
          </w:pPr>
          <w:hyperlink w:anchor="_Toc152235922" w:history="1">
            <w:r w:rsidRPr="00C12D52">
              <w:rPr>
                <w:rStyle w:val="Hyperlink"/>
                <w:noProof/>
              </w:rPr>
              <w:t>4.2.</w:t>
            </w:r>
            <w:r w:rsidRPr="00C12D52">
              <w:rPr>
                <w:rFonts w:asciiTheme="minorHAnsi" w:eastAsiaTheme="minorEastAsia" w:hAnsiTheme="minorHAnsi"/>
                <w:noProof/>
                <w:sz w:val="22"/>
                <w:szCs w:val="22"/>
              </w:rPr>
              <w:tab/>
            </w:r>
            <w:r w:rsidRPr="00C12D52">
              <w:rPr>
                <w:rStyle w:val="Hyperlink"/>
                <w:noProof/>
              </w:rPr>
              <w:t>Other Factors such as Price and Timing of the Offering</w:t>
            </w:r>
            <w:r w:rsidRPr="00C12D52">
              <w:rPr>
                <w:noProof/>
                <w:webHidden/>
              </w:rPr>
              <w:tab/>
            </w:r>
            <w:r w:rsidRPr="00C12D52">
              <w:rPr>
                <w:noProof/>
                <w:webHidden/>
              </w:rPr>
              <w:fldChar w:fldCharType="begin"/>
            </w:r>
            <w:r w:rsidRPr="00C12D52">
              <w:rPr>
                <w:noProof/>
                <w:webHidden/>
              </w:rPr>
              <w:instrText xml:space="preserve"> PAGEREF _Toc152235922 \h </w:instrText>
            </w:r>
            <w:r w:rsidRPr="00C12D52">
              <w:rPr>
                <w:noProof/>
                <w:webHidden/>
              </w:rPr>
            </w:r>
            <w:r w:rsidRPr="00C12D52">
              <w:rPr>
                <w:noProof/>
                <w:webHidden/>
              </w:rPr>
              <w:fldChar w:fldCharType="separate"/>
            </w:r>
            <w:r w:rsidR="001246A8">
              <w:rPr>
                <w:noProof/>
                <w:webHidden/>
              </w:rPr>
              <w:t>5</w:t>
            </w:r>
            <w:r w:rsidRPr="00C12D52">
              <w:rPr>
                <w:noProof/>
                <w:webHidden/>
              </w:rPr>
              <w:fldChar w:fldCharType="end"/>
            </w:r>
          </w:hyperlink>
        </w:p>
        <w:p w14:paraId="2BF936D8" w14:textId="7E80D62E" w:rsidR="00CA4D62" w:rsidRPr="00C12D52" w:rsidRDefault="00CA4D62">
          <w:pPr>
            <w:pStyle w:val="Verzeichnis1"/>
            <w:rPr>
              <w:rFonts w:asciiTheme="minorHAnsi" w:eastAsiaTheme="minorEastAsia" w:hAnsiTheme="minorHAnsi"/>
              <w:noProof/>
              <w:sz w:val="22"/>
              <w:szCs w:val="22"/>
            </w:rPr>
          </w:pPr>
          <w:hyperlink w:anchor="_Toc152235923" w:history="1">
            <w:r w:rsidRPr="00C12D52">
              <w:rPr>
                <w:rStyle w:val="Hyperlink"/>
                <w:noProof/>
              </w:rPr>
              <w:t>5.</w:t>
            </w:r>
            <w:r w:rsidRPr="00C12D52">
              <w:rPr>
                <w:rFonts w:asciiTheme="minorHAnsi" w:eastAsiaTheme="minorEastAsia" w:hAnsiTheme="minorHAnsi"/>
                <w:noProof/>
                <w:sz w:val="22"/>
                <w:szCs w:val="22"/>
              </w:rPr>
              <w:tab/>
            </w:r>
            <w:r w:rsidRPr="00C12D52">
              <w:rPr>
                <w:rStyle w:val="Hyperlink"/>
                <w:noProof/>
              </w:rPr>
              <w:t>Restricted Allocations</w:t>
            </w:r>
            <w:r w:rsidRPr="00C12D52">
              <w:rPr>
                <w:noProof/>
                <w:webHidden/>
              </w:rPr>
              <w:tab/>
            </w:r>
            <w:r w:rsidRPr="00C12D52">
              <w:rPr>
                <w:noProof/>
                <w:webHidden/>
              </w:rPr>
              <w:fldChar w:fldCharType="begin"/>
            </w:r>
            <w:r w:rsidRPr="00C12D52">
              <w:rPr>
                <w:noProof/>
                <w:webHidden/>
              </w:rPr>
              <w:instrText xml:space="preserve"> PAGEREF _Toc152235923 \h </w:instrText>
            </w:r>
            <w:r w:rsidRPr="00C12D52">
              <w:rPr>
                <w:noProof/>
                <w:webHidden/>
              </w:rPr>
            </w:r>
            <w:r w:rsidRPr="00C12D52">
              <w:rPr>
                <w:noProof/>
                <w:webHidden/>
              </w:rPr>
              <w:fldChar w:fldCharType="separate"/>
            </w:r>
            <w:r w:rsidR="001246A8">
              <w:rPr>
                <w:noProof/>
                <w:webHidden/>
              </w:rPr>
              <w:t>6</w:t>
            </w:r>
            <w:r w:rsidRPr="00C12D52">
              <w:rPr>
                <w:noProof/>
                <w:webHidden/>
              </w:rPr>
              <w:fldChar w:fldCharType="end"/>
            </w:r>
          </w:hyperlink>
        </w:p>
        <w:p w14:paraId="21BD8A49" w14:textId="12B9BF75" w:rsidR="00505DFF" w:rsidRPr="00C12D52" w:rsidRDefault="0081024E">
          <w:r w:rsidRPr="00C12D52">
            <w:fldChar w:fldCharType="end"/>
          </w:r>
        </w:p>
      </w:sdtContent>
    </w:sdt>
    <w:p w14:paraId="7F6EC6AB" w14:textId="1BF40723" w:rsidR="00921C96" w:rsidRPr="00C12D52" w:rsidRDefault="00921C96">
      <w:pPr>
        <w:spacing w:before="0" w:after="160"/>
      </w:pPr>
      <w:r w:rsidRPr="00C12D52">
        <w:br w:type="page"/>
      </w:r>
    </w:p>
    <w:p w14:paraId="57C87825" w14:textId="6BA197D0" w:rsidR="00E725C7" w:rsidRPr="00C12D52" w:rsidRDefault="00C70D2C" w:rsidP="006537E5">
      <w:pPr>
        <w:pStyle w:val="berschrift1"/>
      </w:pPr>
      <w:bookmarkStart w:id="0" w:name="_Toc152235914"/>
      <w:r w:rsidRPr="00C12D52">
        <w:lastRenderedPageBreak/>
        <w:t>Scope</w:t>
      </w:r>
      <w:bookmarkEnd w:id="0"/>
    </w:p>
    <w:p w14:paraId="40324B58" w14:textId="1932A748" w:rsidR="00CE442A" w:rsidRPr="00C12D52" w:rsidRDefault="00CE442A" w:rsidP="00CE442A">
      <w:pPr>
        <w:rPr>
          <w:rFonts w:cs="Deutsche Bank Text"/>
        </w:rPr>
      </w:pPr>
      <w:r w:rsidRPr="00C12D52">
        <w:rPr>
          <w:rFonts w:cs="Deutsche Bank Text"/>
        </w:rPr>
        <w:t xml:space="preserve">This </w:t>
      </w:r>
      <w:r w:rsidR="00C8386E" w:rsidRPr="00C12D52">
        <w:rPr>
          <w:rFonts w:cs="Deutsche Bank Text"/>
        </w:rPr>
        <w:t>P</w:t>
      </w:r>
      <w:r w:rsidRPr="00C12D52">
        <w:rPr>
          <w:rFonts w:cs="Deutsche Bank Text"/>
        </w:rPr>
        <w:t>olicy sets out the processes undertaken by Deutsche Bank (the Bank) for the marketing and allocation of capital markets transactions.</w:t>
      </w:r>
    </w:p>
    <w:p w14:paraId="5EE094E2" w14:textId="28BB219D" w:rsidR="00CE442A" w:rsidRPr="00C12D52" w:rsidRDefault="00CE442A" w:rsidP="00CE442A">
      <w:pPr>
        <w:autoSpaceDE w:val="0"/>
        <w:autoSpaceDN w:val="0"/>
        <w:adjustRightInd w:val="0"/>
        <w:rPr>
          <w:rFonts w:cs="Deutsche Bank Text"/>
        </w:rPr>
      </w:pPr>
      <w:r w:rsidRPr="00C12D52">
        <w:rPr>
          <w:rFonts w:cs="Deutsche Bank Text"/>
        </w:rPr>
        <w:t xml:space="preserve">The Bank carries out marketing and allocation activities for and on behalf of the issuer or selling security-holder (offeror) </w:t>
      </w:r>
      <w:r w:rsidR="00EF3839" w:rsidRPr="00C12D52">
        <w:rPr>
          <w:rFonts w:cs="Deutsche Bank Text"/>
        </w:rPr>
        <w:t>Client</w:t>
      </w:r>
      <w:r w:rsidRPr="00C12D52">
        <w:rPr>
          <w:rFonts w:cs="Deutsche Bank Text"/>
        </w:rPr>
        <w:t xml:space="preserve">, with their interests foremost. This policy describes the approach the Bank must adopt </w:t>
      </w:r>
      <w:proofErr w:type="gramStart"/>
      <w:r w:rsidRPr="00C12D52">
        <w:rPr>
          <w:rFonts w:cs="Deutsche Bank Text"/>
        </w:rPr>
        <w:t>in order to</w:t>
      </w:r>
      <w:proofErr w:type="gramEnd"/>
      <w:r w:rsidRPr="00C12D52">
        <w:rPr>
          <w:rFonts w:cs="Deutsche Bank Text"/>
        </w:rPr>
        <w:t xml:space="preserve"> conduct the marketing and allocation process in a fair and proper manner, </w:t>
      </w:r>
      <w:proofErr w:type="gramStart"/>
      <w:r w:rsidRPr="00C12D52">
        <w:rPr>
          <w:rFonts w:cs="Deutsche Bank Text"/>
        </w:rPr>
        <w:t>taking into account</w:t>
      </w:r>
      <w:proofErr w:type="gramEnd"/>
      <w:r w:rsidRPr="00C12D52">
        <w:rPr>
          <w:rFonts w:cs="Deutsche Bank Text"/>
        </w:rPr>
        <w:t xml:space="preserve"> the legitimate interests of investors (subject always to the Bank’s duties to the issuer or offeror </w:t>
      </w:r>
      <w:r w:rsidR="00EF3839" w:rsidRPr="00C12D52">
        <w:rPr>
          <w:rFonts w:cs="Deutsche Bank Text"/>
        </w:rPr>
        <w:t>Client</w:t>
      </w:r>
      <w:r w:rsidRPr="00C12D52">
        <w:rPr>
          <w:rFonts w:cs="Deutsche Bank Text"/>
        </w:rPr>
        <w:t>).</w:t>
      </w:r>
    </w:p>
    <w:p w14:paraId="68BC8574" w14:textId="1ADB13F7" w:rsidR="00CE442A" w:rsidRPr="00C12D52" w:rsidRDefault="00CE442A" w:rsidP="00CE442A">
      <w:pPr>
        <w:autoSpaceDE w:val="0"/>
        <w:autoSpaceDN w:val="0"/>
        <w:adjustRightInd w:val="0"/>
        <w:rPr>
          <w:rFonts w:cs="Deutsche Bank Text"/>
        </w:rPr>
      </w:pPr>
      <w:r w:rsidRPr="00C12D52">
        <w:rPr>
          <w:rFonts w:cs="Deutsche Bank Text"/>
        </w:rPr>
        <w:t xml:space="preserve">To the extent that the Bank provides a backstop or otherwise transacts with </w:t>
      </w:r>
      <w:r w:rsidR="00EF3839" w:rsidRPr="00C12D52">
        <w:rPr>
          <w:rFonts w:cs="Deutsche Bank Text"/>
        </w:rPr>
        <w:t>Clients</w:t>
      </w:r>
      <w:r w:rsidRPr="00C12D52">
        <w:rPr>
          <w:rFonts w:cs="Deutsche Bank Text"/>
        </w:rPr>
        <w:t xml:space="preserve"> “on risk”, the Bank will take steps in the allocation process as are considered necessary or appropriate to manage its risk.</w:t>
      </w:r>
    </w:p>
    <w:p w14:paraId="11873071" w14:textId="5BD47B86" w:rsidR="000B1668" w:rsidRPr="00C12D52" w:rsidRDefault="00C750D3" w:rsidP="006537E5">
      <w:pPr>
        <w:pStyle w:val="berschrift1"/>
      </w:pPr>
      <w:bookmarkStart w:id="1" w:name="_Toc152235915"/>
      <w:r w:rsidRPr="00C12D52">
        <w:t>Objective &amp; Applicability</w:t>
      </w:r>
      <w:bookmarkEnd w:id="1"/>
    </w:p>
    <w:p w14:paraId="0193AEAE" w14:textId="232310E6" w:rsidR="00C750D3" w:rsidRPr="00C12D52" w:rsidRDefault="00C750D3" w:rsidP="00385198">
      <w:pPr>
        <w:pStyle w:val="berschrift2"/>
      </w:pPr>
      <w:bookmarkStart w:id="2" w:name="_Toc152235916"/>
      <w:r w:rsidRPr="00C12D52">
        <w:t>Objective</w:t>
      </w:r>
      <w:bookmarkEnd w:id="2"/>
    </w:p>
    <w:p w14:paraId="24EEBF8E" w14:textId="5E3142E8" w:rsidR="00C750D3" w:rsidRPr="00C12D52" w:rsidRDefault="00C750D3" w:rsidP="00C750D3">
      <w:pPr>
        <w:rPr>
          <w:rFonts w:cs="Deutsche Bank Text"/>
        </w:rPr>
      </w:pPr>
      <w:r w:rsidRPr="00C12D52">
        <w:rPr>
          <w:rFonts w:cs="Deutsche Bank Text"/>
        </w:rPr>
        <w:t>This Policy is designed to meet the below objectives:</w:t>
      </w:r>
    </w:p>
    <w:p w14:paraId="52951BD4" w14:textId="0E110722" w:rsidR="00C750D3" w:rsidRPr="00C12D52" w:rsidRDefault="00C750D3" w:rsidP="00C750D3">
      <w:pPr>
        <w:pStyle w:val="BulletList"/>
      </w:pPr>
      <w:r w:rsidRPr="00C12D52">
        <w:t xml:space="preserve">Ensure relevant Bank staff are aware of the Bank’s marketing and allocation process and </w:t>
      </w:r>
      <w:r w:rsidR="003D6565" w:rsidRPr="00C12D52">
        <w:t xml:space="preserve">the nature of the </w:t>
      </w:r>
      <w:r w:rsidRPr="00C12D52">
        <w:t xml:space="preserve">Bank’s relationships with issuer </w:t>
      </w:r>
      <w:r w:rsidR="00FF59F0" w:rsidRPr="00C12D52">
        <w:t>/</w:t>
      </w:r>
      <w:r w:rsidRPr="00C12D52">
        <w:t xml:space="preserve"> offeror </w:t>
      </w:r>
      <w:r w:rsidR="00EF3839" w:rsidRPr="00C12D52">
        <w:t>Clients</w:t>
      </w:r>
      <w:r w:rsidRPr="00C12D52">
        <w:t xml:space="preserve"> and investors in the context of marketing and allocation activities for capital markets transactions. </w:t>
      </w:r>
    </w:p>
    <w:p w14:paraId="39B1BFFA" w14:textId="77777777" w:rsidR="00C750D3" w:rsidRPr="00C12D52" w:rsidRDefault="00C750D3" w:rsidP="00C750D3">
      <w:pPr>
        <w:pStyle w:val="BulletList"/>
      </w:pPr>
      <w:r w:rsidRPr="00C12D52">
        <w:t>Promote sound business practices and help maintain an orderly market.</w:t>
      </w:r>
    </w:p>
    <w:p w14:paraId="191652E8" w14:textId="77777777" w:rsidR="00C750D3" w:rsidRPr="00C12D52" w:rsidRDefault="00C750D3" w:rsidP="00C750D3">
      <w:pPr>
        <w:pStyle w:val="BulletList"/>
      </w:pPr>
      <w:r w:rsidRPr="00C12D52">
        <w:t>Aid management of conflicts of interest.</w:t>
      </w:r>
    </w:p>
    <w:p w14:paraId="6F76A013" w14:textId="134C157C" w:rsidR="00C750D3" w:rsidRPr="00C12D52" w:rsidRDefault="00C750D3" w:rsidP="00C750D3">
      <w:pPr>
        <w:pStyle w:val="BulletList"/>
      </w:pPr>
      <w:r w:rsidRPr="00C12D52">
        <w:t>Ensure compliance with regulatory requirements.</w:t>
      </w:r>
    </w:p>
    <w:p w14:paraId="4CFA028D" w14:textId="5B13AD99" w:rsidR="00C750D3" w:rsidRPr="00C12D52" w:rsidRDefault="00C750D3" w:rsidP="00C750D3">
      <w:pPr>
        <w:pStyle w:val="berschrift2"/>
      </w:pPr>
      <w:bookmarkStart w:id="3" w:name="_Toc152235917"/>
      <w:r w:rsidRPr="00C12D52">
        <w:t>Applicability</w:t>
      </w:r>
      <w:bookmarkEnd w:id="3"/>
    </w:p>
    <w:p w14:paraId="64CE57B3" w14:textId="3E4B5ACD" w:rsidR="00D0352B" w:rsidRPr="00C12D52" w:rsidRDefault="00D0352B" w:rsidP="00D0352B">
      <w:pPr>
        <w:rPr>
          <w:rFonts w:cs="Deutsche Bank Text"/>
        </w:rPr>
      </w:pPr>
      <w:r w:rsidRPr="00C12D52">
        <w:rPr>
          <w:rFonts w:cs="Deutsche Bank Text"/>
        </w:rPr>
        <w:t xml:space="preserve">This policy applies to all </w:t>
      </w:r>
      <w:r w:rsidR="003D6565" w:rsidRPr="00C12D52">
        <w:rPr>
          <w:rFonts w:cs="Deutsche Bank Text"/>
        </w:rPr>
        <w:t>Investment Bank (</w:t>
      </w:r>
      <w:r w:rsidRPr="00C12D52">
        <w:rPr>
          <w:rFonts w:cs="Deutsche Bank Text"/>
        </w:rPr>
        <w:t>IB</w:t>
      </w:r>
      <w:r w:rsidR="003D6565" w:rsidRPr="00C12D52">
        <w:rPr>
          <w:rFonts w:cs="Deutsche Bank Text"/>
        </w:rPr>
        <w:t>) and Corporate Bank</w:t>
      </w:r>
      <w:r w:rsidR="00FF59F0" w:rsidRPr="00C12D52">
        <w:rPr>
          <w:rFonts w:cs="Deutsche Bank Text"/>
        </w:rPr>
        <w:t xml:space="preserve"> </w:t>
      </w:r>
      <w:r w:rsidR="003D6565" w:rsidRPr="00C12D52">
        <w:rPr>
          <w:rFonts w:cs="Deutsche Bank Text"/>
        </w:rPr>
        <w:t>(CB) E</w:t>
      </w:r>
      <w:r w:rsidRPr="00C12D52">
        <w:rPr>
          <w:rFonts w:cs="Deutsche Bank Text"/>
        </w:rPr>
        <w:t>mployees in EMEA</w:t>
      </w:r>
      <w:r w:rsidR="003D6565" w:rsidRPr="00C12D52">
        <w:rPr>
          <w:rFonts w:cs="Deutsche Bank Text"/>
        </w:rPr>
        <w:t xml:space="preserve"> (including Germany, the UK and Ireland)</w:t>
      </w:r>
      <w:r w:rsidRPr="00C12D52">
        <w:rPr>
          <w:rFonts w:cs="Deutsche Bank Text"/>
        </w:rPr>
        <w:t xml:space="preserve"> and APAC or </w:t>
      </w:r>
      <w:r w:rsidR="003D6565" w:rsidRPr="00C12D52">
        <w:rPr>
          <w:rFonts w:cs="Deutsche Bank Text"/>
        </w:rPr>
        <w:t>any employees</w:t>
      </w:r>
      <w:r w:rsidRPr="00C12D52">
        <w:rPr>
          <w:rFonts w:cs="Deutsche Bank Text"/>
        </w:rPr>
        <w:t xml:space="preserve"> globally involved in the book-building of EMEA or APAC capital markets transactions from any Deutsche Bank AG branch</w:t>
      </w:r>
      <w:r w:rsidR="003D6565" w:rsidRPr="00C12D52">
        <w:rPr>
          <w:rFonts w:cs="Deutsche Bank Text"/>
        </w:rPr>
        <w:t xml:space="preserve"> or subsidiary,</w:t>
      </w:r>
      <w:r w:rsidRPr="00C12D52">
        <w:rPr>
          <w:rFonts w:cs="Deutsche Bank Text"/>
        </w:rPr>
        <w:t xml:space="preserve"> and constitutes the minimum requirements which may be supplemented by additional regional, divisional or local policies or procedures. Where local legal or regulatory requirements </w:t>
      </w:r>
      <w:r w:rsidR="003D6565" w:rsidRPr="00C12D52">
        <w:rPr>
          <w:rFonts w:cs="Deutsche Bank Text"/>
        </w:rPr>
        <w:t>impose</w:t>
      </w:r>
      <w:r w:rsidRPr="00C12D52">
        <w:rPr>
          <w:rFonts w:cs="Deutsche Bank Text"/>
        </w:rPr>
        <w:t xml:space="preserve"> a higher standard, th</w:t>
      </w:r>
      <w:r w:rsidR="003D6565" w:rsidRPr="00C12D52">
        <w:rPr>
          <w:rFonts w:cs="Deutsche Bank Text"/>
        </w:rPr>
        <w:t>is</w:t>
      </w:r>
      <w:r w:rsidRPr="00C12D52">
        <w:rPr>
          <w:rFonts w:cs="Deutsche Bank Text"/>
        </w:rPr>
        <w:t xml:space="preserve"> standard must be adhered to.</w:t>
      </w:r>
    </w:p>
    <w:p w14:paraId="71378DEF" w14:textId="6207D510" w:rsidR="007E65D1" w:rsidRPr="00C12D52" w:rsidRDefault="007E65D1" w:rsidP="007E65D1">
      <w:pPr>
        <w:pStyle w:val="berschrift1"/>
      </w:pPr>
      <w:bookmarkStart w:id="4" w:name="_Toc152235918"/>
      <w:r w:rsidRPr="00C12D52">
        <w:t>Investor Selection for Marketing and Allocations</w:t>
      </w:r>
      <w:bookmarkEnd w:id="4"/>
    </w:p>
    <w:p w14:paraId="6B281C35" w14:textId="62660EBC" w:rsidR="007E65D1" w:rsidRPr="00C12D52" w:rsidRDefault="007E65D1" w:rsidP="007E65D1">
      <w:pPr>
        <w:pStyle w:val="berschrift2"/>
      </w:pPr>
      <w:bookmarkStart w:id="5" w:name="_Toc152235919"/>
      <w:r w:rsidRPr="00C12D52">
        <w:t>Investor Selection Criteria</w:t>
      </w:r>
      <w:bookmarkEnd w:id="5"/>
    </w:p>
    <w:p w14:paraId="1C263E75" w14:textId="77777777" w:rsidR="007E65D1" w:rsidRPr="00C12D52" w:rsidRDefault="007E65D1" w:rsidP="007E65D1">
      <w:pPr>
        <w:rPr>
          <w:rFonts w:cs="Deutsche Bank Text"/>
        </w:rPr>
      </w:pPr>
      <w:r w:rsidRPr="00C12D52">
        <w:rPr>
          <w:rFonts w:cs="Deutsche Bank Text"/>
        </w:rPr>
        <w:t xml:space="preserve">Below is a summary of the investor selection factors the Bank will </w:t>
      </w:r>
      <w:proofErr w:type="gramStart"/>
      <w:r w:rsidRPr="00C12D52">
        <w:rPr>
          <w:rFonts w:cs="Deutsche Bank Text"/>
        </w:rPr>
        <w:t>take into account</w:t>
      </w:r>
      <w:proofErr w:type="gramEnd"/>
      <w:r w:rsidRPr="00C12D52">
        <w:rPr>
          <w:rFonts w:cs="Deutsche Bank Text"/>
        </w:rPr>
        <w:t xml:space="preserve"> for the purposes of the marketing and allocation process. However, this list is non-</w:t>
      </w:r>
      <w:proofErr w:type="gramStart"/>
      <w:r w:rsidRPr="00C12D52">
        <w:rPr>
          <w:rFonts w:cs="Deutsche Bank Text"/>
        </w:rPr>
        <w:t>exhaustive</w:t>
      </w:r>
      <w:proofErr w:type="gramEnd"/>
      <w:r w:rsidRPr="00C12D52">
        <w:rPr>
          <w:rFonts w:cs="Deutsche Bank Text"/>
        </w:rPr>
        <w:t xml:space="preserve"> and no single factor will typically be determinative.</w:t>
      </w:r>
    </w:p>
    <w:p w14:paraId="5604F92F" w14:textId="589AFD81" w:rsidR="003945FF" w:rsidRPr="00C12D52" w:rsidRDefault="003945FF" w:rsidP="003945FF">
      <w:pPr>
        <w:pStyle w:val="BulletList"/>
      </w:pPr>
      <w:bookmarkStart w:id="6" w:name="_Toc152235920"/>
      <w:r w:rsidRPr="00C12D52">
        <w:t xml:space="preserve">The timing and size of the investor’s indication of interest, especially if interest is expressed at a late stage; </w:t>
      </w:r>
    </w:p>
    <w:p w14:paraId="17D8689A" w14:textId="77777777" w:rsidR="003945FF" w:rsidRPr="00C12D52" w:rsidRDefault="003945FF" w:rsidP="003945FF">
      <w:pPr>
        <w:pStyle w:val="BulletList"/>
      </w:pPr>
      <w:r w:rsidRPr="00C12D52">
        <w:t xml:space="preserve">the nature and level of the investor’s demonstrated interest in the offering or issuer, including participation in market sounding, road shows, due diligence, provision of valuation information, feedback to management, early pricing colour, the quality of feedback from the investor, etc.; </w:t>
      </w:r>
    </w:p>
    <w:p w14:paraId="64319E54" w14:textId="77777777" w:rsidR="003945FF" w:rsidRPr="00C12D52" w:rsidRDefault="003945FF" w:rsidP="003945FF">
      <w:pPr>
        <w:pStyle w:val="BulletList"/>
      </w:pPr>
      <w:r w:rsidRPr="00C12D52">
        <w:t xml:space="preserve">the investor’s anticipated investment time horizon; </w:t>
      </w:r>
    </w:p>
    <w:p w14:paraId="5E93FA2B" w14:textId="77777777" w:rsidR="003945FF" w:rsidRPr="00C12D52" w:rsidRDefault="003945FF" w:rsidP="003945FF">
      <w:pPr>
        <w:pStyle w:val="BulletList"/>
      </w:pPr>
      <w:r w:rsidRPr="00C12D52">
        <w:lastRenderedPageBreak/>
        <w:t xml:space="preserve">Issuer Client preferences (including investor type, size, style or mandate, geography and the treatment of existing security holders); </w:t>
      </w:r>
    </w:p>
    <w:p w14:paraId="6DF134E9" w14:textId="77777777" w:rsidR="003945FF" w:rsidRPr="00C12D52" w:rsidRDefault="003945FF" w:rsidP="003945FF">
      <w:pPr>
        <w:pStyle w:val="BulletList"/>
      </w:pPr>
      <w:r w:rsidRPr="00C12D52">
        <w:t>the investor’s interest in, and past transactions in, issuances generally or other securities of the issuer and/or sector;</w:t>
      </w:r>
    </w:p>
    <w:p w14:paraId="5987C10F" w14:textId="77777777" w:rsidR="003945FF" w:rsidRPr="00C12D52" w:rsidRDefault="003945FF" w:rsidP="003945FF">
      <w:pPr>
        <w:pStyle w:val="BulletList"/>
      </w:pPr>
      <w:r w:rsidRPr="00C12D52">
        <w:t xml:space="preserve">whether the investor owns comparable securities and/or regularly trades comparable securities in the secondary market; </w:t>
      </w:r>
    </w:p>
    <w:p w14:paraId="48064460" w14:textId="77777777" w:rsidR="003945FF" w:rsidRPr="00C12D52" w:rsidRDefault="003945FF" w:rsidP="003945FF">
      <w:pPr>
        <w:pStyle w:val="BulletList"/>
      </w:pPr>
      <w:r w:rsidRPr="00C12D52">
        <w:t>the investor’s interest in the industry/product sector;</w:t>
      </w:r>
    </w:p>
    <w:p w14:paraId="3379EE3E" w14:textId="77777777" w:rsidR="003945FF" w:rsidRPr="00C12D52" w:rsidRDefault="003945FF" w:rsidP="003945FF">
      <w:pPr>
        <w:pStyle w:val="BulletList"/>
      </w:pPr>
      <w:r w:rsidRPr="00C12D52">
        <w:t xml:space="preserve">the investor’s blend of securities issuances and secondary market business; </w:t>
      </w:r>
    </w:p>
    <w:p w14:paraId="67B5926B" w14:textId="77777777" w:rsidR="003945FF" w:rsidRPr="00C12D52" w:rsidRDefault="003945FF" w:rsidP="003945FF">
      <w:pPr>
        <w:pStyle w:val="BulletList"/>
      </w:pPr>
      <w:r w:rsidRPr="00C12D52">
        <w:t xml:space="preserve">the extent to which the investor’s expressed interest and the size of order </w:t>
      </w:r>
      <w:proofErr w:type="gramStart"/>
      <w:r w:rsidRPr="00C12D52">
        <w:t>appears</w:t>
      </w:r>
      <w:proofErr w:type="gramEnd"/>
      <w:r w:rsidRPr="00C12D52">
        <w:t xml:space="preserve"> consistent with the investor’s past investment strategy in comparable securities or the issuer’s industry/ product sector in the primary and/ or secondary markets;</w:t>
      </w:r>
    </w:p>
    <w:p w14:paraId="3BBF012B" w14:textId="77777777" w:rsidR="003945FF" w:rsidRPr="00C12D52" w:rsidRDefault="003945FF" w:rsidP="003945FF">
      <w:pPr>
        <w:pStyle w:val="BulletList"/>
      </w:pPr>
      <w:r w:rsidRPr="00C12D52">
        <w:t>any indication, evidence or belief that the investor has exaggerated the true extent of its interest in the expectation of being scaled back;</w:t>
      </w:r>
    </w:p>
    <w:p w14:paraId="299C907C" w14:textId="77777777" w:rsidR="003945FF" w:rsidRPr="00C12D52" w:rsidRDefault="003945FF" w:rsidP="003945FF">
      <w:pPr>
        <w:pStyle w:val="BulletList"/>
      </w:pPr>
      <w:r w:rsidRPr="00C12D52">
        <w:t>overall level of demand;</w:t>
      </w:r>
    </w:p>
    <w:p w14:paraId="765FB1EC" w14:textId="77777777" w:rsidR="003945FF" w:rsidRPr="00C12D52" w:rsidRDefault="003945FF" w:rsidP="003945FF">
      <w:pPr>
        <w:pStyle w:val="BulletList"/>
      </w:pPr>
      <w:r w:rsidRPr="00C12D52">
        <w:t>anticipated aftermarket performance (i.e. the extent to which an Issuer Client is focused on aftermarket performance as a priority over maximum Day 1 valuation/price or vice versa);</w:t>
      </w:r>
    </w:p>
    <w:p w14:paraId="50399282" w14:textId="77777777" w:rsidR="003945FF" w:rsidRPr="00C12D52" w:rsidRDefault="003945FF" w:rsidP="003945FF">
      <w:pPr>
        <w:pStyle w:val="BulletList"/>
      </w:pPr>
      <w:r w:rsidRPr="00C12D52">
        <w:t>any applicable selling restrictions in jurisdictions with which the investor is connected;</w:t>
      </w:r>
    </w:p>
    <w:p w14:paraId="4BB67518" w14:textId="77777777" w:rsidR="003945FF" w:rsidRPr="00C12D52" w:rsidRDefault="003945FF" w:rsidP="003945FF">
      <w:pPr>
        <w:pStyle w:val="BulletList"/>
      </w:pPr>
      <w:r w:rsidRPr="00C12D52">
        <w:t>any “free float” or similar requirements of any relevant listing, trading or indexation regime;</w:t>
      </w:r>
    </w:p>
    <w:p w14:paraId="31B6FAD4" w14:textId="77777777" w:rsidR="003945FF" w:rsidRPr="00C12D52" w:rsidRDefault="003945FF" w:rsidP="003945FF">
      <w:pPr>
        <w:pStyle w:val="BulletList"/>
      </w:pPr>
      <w:r w:rsidRPr="00C12D52">
        <w:t>concentration (i.e. preferences as to size and number of large holdings, medium and/ or smaller ones);</w:t>
      </w:r>
    </w:p>
    <w:p w14:paraId="53C15A13" w14:textId="77777777" w:rsidR="003945FF" w:rsidRPr="00C12D52" w:rsidRDefault="003945FF" w:rsidP="003945FF">
      <w:pPr>
        <w:pStyle w:val="BulletList"/>
      </w:pPr>
      <w:r w:rsidRPr="00C12D52">
        <w:t xml:space="preserve">avoiding allocations in inconvenient or uneconomic amounts; </w:t>
      </w:r>
    </w:p>
    <w:p w14:paraId="3BA97A8C" w14:textId="77777777" w:rsidR="003945FF" w:rsidRPr="00C12D52" w:rsidRDefault="003945FF" w:rsidP="003945FF">
      <w:pPr>
        <w:pStyle w:val="BulletList"/>
      </w:pPr>
      <w:r w:rsidRPr="00C12D52">
        <w:t>the investor’s participation in past offerings underwritten by DB entities or allocated through DB entities, and the quality and composition of that participation; and</w:t>
      </w:r>
    </w:p>
    <w:p w14:paraId="6FCF190F" w14:textId="77777777" w:rsidR="003945FF" w:rsidRPr="00C12D52" w:rsidRDefault="003945FF" w:rsidP="003945FF">
      <w:pPr>
        <w:pStyle w:val="BulletList"/>
      </w:pPr>
      <w:r w:rsidRPr="00C12D52">
        <w:t>any protected orders.</w:t>
      </w:r>
    </w:p>
    <w:p w14:paraId="1CB0E627" w14:textId="5C8FE019" w:rsidR="007E65D1" w:rsidRPr="00C12D52" w:rsidRDefault="007E65D1" w:rsidP="007E65D1">
      <w:pPr>
        <w:pStyle w:val="berschrift1"/>
      </w:pPr>
      <w:r w:rsidRPr="00C12D52">
        <w:t>Allocation Process</w:t>
      </w:r>
      <w:bookmarkEnd w:id="6"/>
    </w:p>
    <w:p w14:paraId="4444500C" w14:textId="76B4D2DA" w:rsidR="007E65D1" w:rsidRPr="00C12D52" w:rsidRDefault="007E65D1" w:rsidP="007E65D1">
      <w:pPr>
        <w:rPr>
          <w:rFonts w:cs="Deutsche Bank Text"/>
        </w:rPr>
      </w:pPr>
      <w:r w:rsidRPr="00C12D52">
        <w:rPr>
          <w:rFonts w:cs="Deutsche Bank Text"/>
        </w:rPr>
        <w:t xml:space="preserve">The Bank is deemed to act solely for the issuer/ offeror </w:t>
      </w:r>
      <w:r w:rsidR="00EF3839" w:rsidRPr="00C12D52">
        <w:rPr>
          <w:rFonts w:cs="Deutsche Bank Text"/>
        </w:rPr>
        <w:t>Client</w:t>
      </w:r>
      <w:r w:rsidRPr="00C12D52">
        <w:rPr>
          <w:rFonts w:cs="Deutsche Bank Text"/>
        </w:rPr>
        <w:t xml:space="preserve"> in managing the allocation process and selecting investors for capital markets transactions. As a general matter, the Bank will follow the instructions and preferences of the issuer/ offeror </w:t>
      </w:r>
      <w:r w:rsidR="00EF3839" w:rsidRPr="00C12D52">
        <w:rPr>
          <w:rFonts w:cs="Deutsche Bank Text"/>
        </w:rPr>
        <w:t>Client</w:t>
      </w:r>
      <w:r w:rsidRPr="00C12D52">
        <w:rPr>
          <w:rFonts w:cs="Deutsche Bank Text"/>
        </w:rPr>
        <w:t xml:space="preserve"> (if any). </w:t>
      </w:r>
    </w:p>
    <w:p w14:paraId="0BBFAA97" w14:textId="6EF558CB" w:rsidR="007E65D1" w:rsidRPr="00C12D52" w:rsidRDefault="007E65D1" w:rsidP="007E65D1">
      <w:pPr>
        <w:rPr>
          <w:rFonts w:cs="Deutsche Bank Text"/>
        </w:rPr>
      </w:pPr>
      <w:r w:rsidRPr="00C12D52">
        <w:rPr>
          <w:rFonts w:cs="Deutsche Bank Text"/>
        </w:rPr>
        <w:t>In undertaking marketing and investor selection, including in organizing market sounding, arranging roadshows and in the allocation process, the Bank has the obligation to manage its conflicts of interests appropriately and to conduct its processes in a fair and orderly manner and on a reasonable basis.</w:t>
      </w:r>
    </w:p>
    <w:p w14:paraId="555C6525" w14:textId="39A524C9" w:rsidR="00FF59F0" w:rsidRPr="00C12D52" w:rsidRDefault="00FF59F0" w:rsidP="007E65D1">
      <w:pPr>
        <w:rPr>
          <w:rFonts w:cs="Deutsche Bank Text"/>
        </w:rPr>
      </w:pPr>
      <w:r w:rsidRPr="00C12D52">
        <w:rPr>
          <w:rFonts w:cs="Deutsche Bank Text"/>
        </w:rPr>
        <w:t>The Bank has systems and controls in place to prevent or manage conflicts of interest in relation to the development of allocation proposals and the under- or over-pricing of an offer of securities. The Bank’s main guiding principle is to achieve optimal investor distribution and price available to the issuer/ offeror Client within the limits of the agreed timing and sizing of the offering.</w:t>
      </w:r>
    </w:p>
    <w:p w14:paraId="5AB89B00" w14:textId="77777777" w:rsidR="00FF59F0" w:rsidRPr="00C12D52" w:rsidRDefault="007E65D1" w:rsidP="007E65D1">
      <w:pPr>
        <w:rPr>
          <w:rFonts w:cs="Deutsche Bank Text"/>
        </w:rPr>
      </w:pPr>
      <w:r w:rsidRPr="00C12D52">
        <w:rPr>
          <w:rFonts w:cs="Deutsche Bank Text"/>
        </w:rPr>
        <w:t xml:space="preserve">The allocation process is a matter of judgment, based on the Bank’s experience in distributing offerings of securities. Normally, no single factor from the criteria listed in section 3.1 above will be determinative in the process and the particular facts and circumstances of the issuer/ offeror </w:t>
      </w:r>
      <w:r w:rsidR="00EF3839" w:rsidRPr="00C12D52">
        <w:rPr>
          <w:rFonts w:cs="Deutsche Bank Text"/>
        </w:rPr>
        <w:t>Client</w:t>
      </w:r>
      <w:r w:rsidRPr="00C12D52">
        <w:rPr>
          <w:rFonts w:cs="Deutsche Bank Text"/>
        </w:rPr>
        <w:t xml:space="preserve"> and the investors in question will also greatly influence the allocation process. </w:t>
      </w:r>
    </w:p>
    <w:p w14:paraId="209034A4" w14:textId="610011D2" w:rsidR="00EF3839" w:rsidRPr="00C12D52" w:rsidRDefault="007E65D1" w:rsidP="007E65D1">
      <w:pPr>
        <w:rPr>
          <w:rFonts w:cs="Deutsche Bank Text"/>
        </w:rPr>
      </w:pPr>
      <w:r w:rsidRPr="00C12D52">
        <w:rPr>
          <w:rFonts w:cs="Deutsche Bank Text"/>
        </w:rPr>
        <w:t>By following the steps in section 4.1 below</w:t>
      </w:r>
      <w:r w:rsidR="00EF3839" w:rsidRPr="00C12D52">
        <w:rPr>
          <w:rFonts w:cs="Deutsche Bank Text"/>
        </w:rPr>
        <w:t>,</w:t>
      </w:r>
      <w:r w:rsidRPr="00C12D52">
        <w:rPr>
          <w:rFonts w:cs="Deutsche Bank Text"/>
        </w:rPr>
        <w:t xml:space="preserve"> the Bank’s objective is to achieve a final schedule of allocations at a price and issue size that has been agreed with the issuer/ offeror </w:t>
      </w:r>
      <w:r w:rsidR="00EF3839" w:rsidRPr="00C12D52">
        <w:rPr>
          <w:rFonts w:cs="Deutsche Bank Text"/>
        </w:rPr>
        <w:t>Client</w:t>
      </w:r>
      <w:r w:rsidRPr="00C12D52">
        <w:rPr>
          <w:rFonts w:cs="Deutsche Bank Text"/>
        </w:rPr>
        <w:t xml:space="preserve">, which puts </w:t>
      </w:r>
      <w:r w:rsidR="00EF3839" w:rsidRPr="00C12D52">
        <w:rPr>
          <w:rFonts w:cs="Deutsche Bank Text"/>
        </w:rPr>
        <w:t>the Client’s</w:t>
      </w:r>
      <w:r w:rsidRPr="00C12D52">
        <w:rPr>
          <w:rFonts w:cs="Deutsche Bank Text"/>
        </w:rPr>
        <w:t xml:space="preserve"> interests in this respect ahead of those of investors (who may or may not also be </w:t>
      </w:r>
      <w:r w:rsidR="00EF3839" w:rsidRPr="00C12D52">
        <w:rPr>
          <w:rFonts w:cs="Deutsche Bank Text"/>
        </w:rPr>
        <w:t>Clients</w:t>
      </w:r>
      <w:r w:rsidRPr="00C12D52">
        <w:rPr>
          <w:rFonts w:cs="Deutsche Bank Text"/>
        </w:rPr>
        <w:t xml:space="preserve"> of the Bank)</w:t>
      </w:r>
      <w:r w:rsidR="00EF3839" w:rsidRPr="00C12D52">
        <w:rPr>
          <w:rFonts w:cs="Deutsche Bank Text"/>
        </w:rPr>
        <w:t>,</w:t>
      </w:r>
      <w:r w:rsidRPr="00C12D52">
        <w:rPr>
          <w:rFonts w:cs="Deutsche Bank Text"/>
        </w:rPr>
        <w:t xml:space="preserve"> or the Bank itself. </w:t>
      </w:r>
    </w:p>
    <w:p w14:paraId="53B0E3DE" w14:textId="7FD399D5" w:rsidR="00EA082D" w:rsidRPr="00C12D52" w:rsidRDefault="007E65D1" w:rsidP="007E65D1">
      <w:pPr>
        <w:rPr>
          <w:rFonts w:cs="Deutsche Bank Text"/>
        </w:rPr>
      </w:pPr>
      <w:r w:rsidRPr="00C12D52">
        <w:rPr>
          <w:rFonts w:cs="Deutsche Bank Text"/>
        </w:rPr>
        <w:lastRenderedPageBreak/>
        <w:t xml:space="preserve">Additionally, in following the steps in section 3.1 on investor selection centred on achieving agreed </w:t>
      </w:r>
      <w:r w:rsidR="00EF3839" w:rsidRPr="00C12D52">
        <w:rPr>
          <w:rFonts w:cs="Deutsche Bank Text"/>
        </w:rPr>
        <w:t>Client</w:t>
      </w:r>
      <w:r w:rsidRPr="00C12D52">
        <w:rPr>
          <w:rFonts w:cs="Deutsche Bank Text"/>
        </w:rPr>
        <w:t xml:space="preserve"> objectives in the allocations process and complying with the steps in section 5 on restricted </w:t>
      </w:r>
    </w:p>
    <w:p w14:paraId="434924DD" w14:textId="77777777" w:rsidR="007E65D1" w:rsidRPr="00C12D52" w:rsidRDefault="007E65D1" w:rsidP="007E65D1">
      <w:pPr>
        <w:rPr>
          <w:rFonts w:cs="Deutsche Bank Text"/>
        </w:rPr>
      </w:pPr>
      <w:r w:rsidRPr="00C12D52">
        <w:rPr>
          <w:rFonts w:cs="Deutsche Bank Text"/>
        </w:rPr>
        <w:t xml:space="preserve">allocations, the Bank further aims to avoid any potential for promoting the interests of other </w:t>
      </w:r>
      <w:r w:rsidR="00EF3839" w:rsidRPr="00C12D52">
        <w:rPr>
          <w:rFonts w:cs="Deutsche Bank Text"/>
        </w:rPr>
        <w:t>Clients</w:t>
      </w:r>
      <w:r w:rsidRPr="00C12D52">
        <w:rPr>
          <w:rFonts w:cs="Deutsche Bank Text"/>
        </w:rPr>
        <w:t xml:space="preserve">, investors or its own interests in a way that might conflict with those of the issuer/ offeror </w:t>
      </w:r>
      <w:r w:rsidR="00EF3839" w:rsidRPr="00C12D52">
        <w:rPr>
          <w:rFonts w:cs="Deutsche Bank Text"/>
        </w:rPr>
        <w:t>Client</w:t>
      </w:r>
      <w:r w:rsidRPr="00C12D52">
        <w:rPr>
          <w:rFonts w:cs="Deutsche Bank Text"/>
        </w:rPr>
        <w:t>.</w:t>
      </w:r>
    </w:p>
    <w:p w14:paraId="07915DBE" w14:textId="2B64A920" w:rsidR="00EF3839" w:rsidRPr="00C12D52" w:rsidRDefault="00EF3839" w:rsidP="00EF3839">
      <w:pPr>
        <w:autoSpaceDE w:val="0"/>
        <w:autoSpaceDN w:val="0"/>
        <w:adjustRightInd w:val="0"/>
        <w:spacing w:before="0" w:after="0" w:line="240" w:lineRule="auto"/>
      </w:pPr>
      <w:r w:rsidRPr="00C12D52">
        <w:t xml:space="preserve">Separately, a substantiated view of pricing </w:t>
      </w:r>
      <w:proofErr w:type="gramStart"/>
      <w:r w:rsidRPr="00C12D52">
        <w:t>taking into account</w:t>
      </w:r>
      <w:proofErr w:type="gramEnd"/>
      <w:r w:rsidRPr="00C12D52">
        <w:t xml:space="preserve"> the Client’s interests and all relevant factors is arrived at through the price discovery process in section 4.2. </w:t>
      </w:r>
    </w:p>
    <w:p w14:paraId="1FB0821D" w14:textId="03AEB3DE" w:rsidR="007E65D1" w:rsidRPr="00C12D52" w:rsidRDefault="007E65D1" w:rsidP="007E65D1">
      <w:pPr>
        <w:pStyle w:val="berschrift2"/>
      </w:pPr>
      <w:bookmarkStart w:id="7" w:name="_Toc152235921"/>
      <w:r w:rsidRPr="00C12D52">
        <w:t>Allocation Process Steps</w:t>
      </w:r>
      <w:bookmarkEnd w:id="7"/>
    </w:p>
    <w:p w14:paraId="5AE87BCB" w14:textId="77777777" w:rsidR="007E65D1" w:rsidRPr="00C12D52" w:rsidRDefault="007E65D1" w:rsidP="007E65D1">
      <w:pPr>
        <w:spacing w:before="0" w:after="0" w:line="240" w:lineRule="auto"/>
        <w:contextualSpacing/>
        <w:rPr>
          <w:rFonts w:cs="Deutsche Bank Text"/>
        </w:rPr>
      </w:pPr>
      <w:r w:rsidRPr="00C12D52">
        <w:rPr>
          <w:rFonts w:cs="Deutsche Bank Text"/>
        </w:rPr>
        <w:t>The Bank’s process for arriving at a final book of allocations is as follows:</w:t>
      </w:r>
    </w:p>
    <w:p w14:paraId="23E1F017" w14:textId="77777777" w:rsidR="007E65D1" w:rsidRPr="00C12D52" w:rsidRDefault="007E65D1" w:rsidP="007E65D1">
      <w:pPr>
        <w:pStyle w:val="Listenabsatz"/>
        <w:numPr>
          <w:ilvl w:val="0"/>
          <w:numId w:val="0"/>
        </w:numPr>
        <w:spacing w:before="0" w:after="0" w:line="240" w:lineRule="auto"/>
        <w:ind w:left="720"/>
        <w:contextualSpacing/>
        <w:rPr>
          <w:rFonts w:cs="Deutsche Bank Text"/>
        </w:rPr>
      </w:pPr>
    </w:p>
    <w:p w14:paraId="2DC477ED" w14:textId="60912026" w:rsidR="007E65D1" w:rsidRPr="00C12D52" w:rsidRDefault="007E65D1" w:rsidP="007E65D1">
      <w:pPr>
        <w:pStyle w:val="BulletList"/>
        <w:ind w:left="737" w:hanging="357"/>
      </w:pPr>
      <w:r w:rsidRPr="00C12D52">
        <w:t xml:space="preserve">The Bank must send a current copy of the Allocation Policy to the issuer/ offeror </w:t>
      </w:r>
      <w:r w:rsidR="00EF3839" w:rsidRPr="00C12D52">
        <w:t>Client</w:t>
      </w:r>
      <w:r w:rsidRPr="00C12D52">
        <w:t xml:space="preserve"> before the commencement of the book-building process. </w:t>
      </w:r>
    </w:p>
    <w:p w14:paraId="65398335" w14:textId="3A492D2F" w:rsidR="007E65D1" w:rsidRPr="00C12D52" w:rsidRDefault="007E65D1" w:rsidP="007E65D1">
      <w:pPr>
        <w:pStyle w:val="BulletList"/>
        <w:ind w:left="737" w:hanging="357"/>
      </w:pPr>
      <w:r w:rsidRPr="00C12D52">
        <w:t xml:space="preserve">The Bank will have initial discussions with the issuer/ offeror </w:t>
      </w:r>
      <w:r w:rsidR="00EF3839" w:rsidRPr="00C12D52">
        <w:t>Client</w:t>
      </w:r>
      <w:r w:rsidRPr="00C12D52">
        <w:t xml:space="preserve"> and agree the proposed allocation per type of investor.</w:t>
      </w:r>
    </w:p>
    <w:p w14:paraId="6A6B665D" w14:textId="3F3D2AB8" w:rsidR="007E65D1" w:rsidRPr="00C12D52" w:rsidRDefault="007E65D1" w:rsidP="007E65D1">
      <w:pPr>
        <w:pStyle w:val="BulletList"/>
        <w:ind w:left="737" w:hanging="357"/>
      </w:pPr>
      <w:r w:rsidRPr="00C12D52">
        <w:t xml:space="preserve">The Bank will note any further discussion and instructions or preferences in relation to the allocation process provided by the issuer/ offeror </w:t>
      </w:r>
      <w:r w:rsidR="00EF3839" w:rsidRPr="00C12D52">
        <w:t>Client</w:t>
      </w:r>
      <w:r w:rsidRPr="00C12D52">
        <w:t xml:space="preserve">, other members of the syndicate, or the Bank itself, including </w:t>
      </w:r>
      <w:proofErr w:type="gramStart"/>
      <w:r w:rsidRPr="00C12D52">
        <w:t>in light of</w:t>
      </w:r>
      <w:proofErr w:type="gramEnd"/>
      <w:r w:rsidRPr="00C12D52">
        <w:t xml:space="preserve"> feedback and allocation requests (“bids”) received from investors.</w:t>
      </w:r>
    </w:p>
    <w:p w14:paraId="3542DD05" w14:textId="32C56518" w:rsidR="007E65D1" w:rsidRPr="00C12D52" w:rsidRDefault="007E65D1" w:rsidP="007E65D1">
      <w:pPr>
        <w:pStyle w:val="BulletList"/>
        <w:ind w:left="737" w:hanging="357"/>
      </w:pPr>
      <w:r w:rsidRPr="00C12D52">
        <w:t xml:space="preserve">On completion of the book-building process, the Bank will then provide the issuer / offeror </w:t>
      </w:r>
      <w:r w:rsidR="00EF3839" w:rsidRPr="00C12D52">
        <w:t>Client</w:t>
      </w:r>
      <w:r w:rsidRPr="00C12D52">
        <w:t xml:space="preserve"> with an allocation recommendation (including information about the bids submitted, the investors who have submitted these bids and the rationale for the recommendations). The final allocations will be confirmed with the issuer/ offeror </w:t>
      </w:r>
      <w:r w:rsidR="00EF3839" w:rsidRPr="00C12D52">
        <w:t>Client</w:t>
      </w:r>
      <w:r w:rsidRPr="00C12D52">
        <w:t xml:space="preserve">. </w:t>
      </w:r>
    </w:p>
    <w:p w14:paraId="6125DD7C" w14:textId="4DF8CDD6" w:rsidR="007E65D1" w:rsidRPr="00C12D52" w:rsidRDefault="007E65D1" w:rsidP="007E65D1">
      <w:pPr>
        <w:pStyle w:val="BulletList"/>
        <w:ind w:left="737" w:hanging="357"/>
      </w:pPr>
      <w:r w:rsidRPr="00C12D52">
        <w:t xml:space="preserve">Where </w:t>
      </w:r>
      <w:proofErr w:type="gramStart"/>
      <w:r w:rsidRPr="00C12D52">
        <w:t>a number of</w:t>
      </w:r>
      <w:proofErr w:type="gramEnd"/>
      <w:r w:rsidRPr="00C12D52">
        <w:t xml:space="preserve"> book-runners are acting for an issuer/ offeror </w:t>
      </w:r>
      <w:r w:rsidR="00EF3839" w:rsidRPr="00C12D52">
        <w:t>Client</w:t>
      </w:r>
      <w:r w:rsidRPr="00C12D52">
        <w:t xml:space="preserve">, the Bank will only owe the </w:t>
      </w:r>
      <w:r w:rsidR="00EF3839" w:rsidRPr="00C12D52">
        <w:t>Client</w:t>
      </w:r>
      <w:r w:rsidRPr="00C12D52">
        <w:t xml:space="preserve"> duties relating to pricing and allocation if the Bank is responsible for the pricing and allocation of the offering (whether solely or jointly).</w:t>
      </w:r>
    </w:p>
    <w:p w14:paraId="04AEC1A1" w14:textId="0833BFE1" w:rsidR="007E65D1" w:rsidRPr="00C12D52" w:rsidRDefault="007E65D1" w:rsidP="007E65D1">
      <w:pPr>
        <w:pStyle w:val="BulletList"/>
        <w:ind w:left="737" w:hanging="357"/>
      </w:pPr>
      <w:r w:rsidRPr="00C12D52">
        <w:t xml:space="preserve">Where it is consistent with the allocation objectives of the issuer/ offeror </w:t>
      </w:r>
      <w:r w:rsidR="00EF3839" w:rsidRPr="00C12D52">
        <w:t>Client</w:t>
      </w:r>
      <w:r w:rsidRPr="00C12D52">
        <w:t xml:space="preserve">, the Bank may allocate securities with institutional accounts and other investors who are </w:t>
      </w:r>
      <w:r w:rsidR="00FF59F0" w:rsidRPr="00C12D52">
        <w:t>c</w:t>
      </w:r>
      <w:r w:rsidR="00EF3839" w:rsidRPr="00C12D52">
        <w:t>lients</w:t>
      </w:r>
      <w:r w:rsidRPr="00C12D52">
        <w:t xml:space="preserve"> of the Bank from whom the Bank may receive commissions and other revenues, to the trading and other proprietary accounts of the Bank and to asset management companies affiliated with the Bank. Such allocations may give rise to a potential conflict of interest for the Bank which w</w:t>
      </w:r>
      <w:r w:rsidR="00EF3839" w:rsidRPr="00C12D52">
        <w:t>ill</w:t>
      </w:r>
      <w:r w:rsidRPr="00C12D52">
        <w:t xml:space="preserve"> be managed in accordance with applicable laws and regulations and the Bank’s policies and procedures. Accordingly, Sales or other staff interacting with investor </w:t>
      </w:r>
      <w:r w:rsidR="00FF59F0" w:rsidRPr="00C12D52">
        <w:t>c</w:t>
      </w:r>
      <w:r w:rsidR="00EF3839" w:rsidRPr="00C12D52">
        <w:t>lients</w:t>
      </w:r>
      <w:r w:rsidRPr="00C12D52">
        <w:t xml:space="preserve"> of the Bank in situations outside of the book-building process for the transaction must not request specific allocations for individual investors or otherwise seek to influence allocation decisions.</w:t>
      </w:r>
    </w:p>
    <w:p w14:paraId="3F470053" w14:textId="77777777" w:rsidR="007E65D1" w:rsidRPr="00C12D52" w:rsidRDefault="007E65D1" w:rsidP="007E65D1">
      <w:pPr>
        <w:pStyle w:val="BulletList"/>
        <w:ind w:left="737" w:hanging="357"/>
      </w:pPr>
      <w:r w:rsidRPr="00C12D52">
        <w:t xml:space="preserve">Subject to any relevant duties of confidentiality, the Bank will update the market on the level of investor interest identified in the book-building process as frequently as required. </w:t>
      </w:r>
    </w:p>
    <w:p w14:paraId="2CB646E3" w14:textId="0510E3E8" w:rsidR="007E65D1" w:rsidRPr="00C12D52" w:rsidRDefault="007E65D1" w:rsidP="007E65D1">
      <w:pPr>
        <w:pStyle w:val="berschrift2"/>
      </w:pPr>
      <w:bookmarkStart w:id="8" w:name="_Toc152235922"/>
      <w:r w:rsidRPr="00C12D52">
        <w:t>Other Factors such as Price and Timing of the Offering</w:t>
      </w:r>
      <w:bookmarkEnd w:id="8"/>
    </w:p>
    <w:p w14:paraId="29B40ECB" w14:textId="317D62F6" w:rsidR="007E65D1" w:rsidRPr="00C12D52" w:rsidRDefault="007E65D1" w:rsidP="007E65D1">
      <w:pPr>
        <w:spacing w:before="0" w:after="0" w:line="240" w:lineRule="auto"/>
        <w:contextualSpacing/>
        <w:rPr>
          <w:rFonts w:cs="Deutsche Bank Text"/>
        </w:rPr>
      </w:pPr>
      <w:r w:rsidRPr="00C12D52">
        <w:rPr>
          <w:rFonts w:cs="Deutsche Bank Text"/>
        </w:rPr>
        <w:t>To establish the price of an offering, the Bank will consider the relevant factors</w:t>
      </w:r>
      <w:r w:rsidR="00CD60E3" w:rsidRPr="00C12D52">
        <w:rPr>
          <w:rFonts w:cs="Deutsche Bank Text"/>
        </w:rPr>
        <w:t>, which</w:t>
      </w:r>
      <w:r w:rsidRPr="00C12D52">
        <w:rPr>
          <w:rFonts w:cs="Deutsche Bank Text"/>
        </w:rPr>
        <w:t xml:space="preserve"> could include known investor demand, size of stake to be sold in relation to the size and liquidity of the issuer and its securities, current price, internal views on fair value and market conditions, price trend, volatility, and the pricing of previous or similar offerings. To establish a well substantiated view of pricing, the Bank may suggest that market sounding is undertaken with the consent of the issuer/ offeror </w:t>
      </w:r>
      <w:r w:rsidR="00EF3839" w:rsidRPr="00C12D52">
        <w:rPr>
          <w:rFonts w:cs="Deutsche Bank Text"/>
        </w:rPr>
        <w:t>Client</w:t>
      </w:r>
      <w:r w:rsidRPr="00C12D52">
        <w:rPr>
          <w:rFonts w:cs="Deutsche Bank Text"/>
        </w:rPr>
        <w:t xml:space="preserve">. The Bank will update the issuer/ offeror </w:t>
      </w:r>
      <w:r w:rsidR="00EF3839" w:rsidRPr="00C12D52">
        <w:rPr>
          <w:rFonts w:cs="Deutsche Bank Text"/>
        </w:rPr>
        <w:t>Client</w:t>
      </w:r>
      <w:r w:rsidRPr="00C12D52">
        <w:rPr>
          <w:rFonts w:cs="Deutsche Bank Text"/>
        </w:rPr>
        <w:t xml:space="preserve"> as necessary </w:t>
      </w:r>
      <w:proofErr w:type="gramStart"/>
      <w:r w:rsidRPr="00C12D52">
        <w:rPr>
          <w:rFonts w:cs="Deutsche Bank Text"/>
        </w:rPr>
        <w:t>in regard to</w:t>
      </w:r>
      <w:proofErr w:type="gramEnd"/>
      <w:r w:rsidRPr="00C12D52">
        <w:rPr>
          <w:rFonts w:cs="Deutsche Bank Text"/>
        </w:rPr>
        <w:t xml:space="preserve"> pricing throughout the offering process.</w:t>
      </w:r>
    </w:p>
    <w:p w14:paraId="7BA83D50" w14:textId="77777777" w:rsidR="007E65D1" w:rsidRPr="00C12D52" w:rsidRDefault="007E65D1" w:rsidP="007E65D1">
      <w:pPr>
        <w:spacing w:before="0" w:after="0" w:line="240" w:lineRule="auto"/>
        <w:contextualSpacing/>
        <w:rPr>
          <w:rFonts w:cs="Deutsche Bank Text"/>
        </w:rPr>
      </w:pPr>
    </w:p>
    <w:p w14:paraId="00450F6A" w14:textId="33E85C5E" w:rsidR="007E65D1" w:rsidRPr="00C12D52" w:rsidRDefault="007E65D1" w:rsidP="007E65D1">
      <w:pPr>
        <w:spacing w:before="0" w:after="0" w:line="240" w:lineRule="auto"/>
        <w:contextualSpacing/>
        <w:rPr>
          <w:rFonts w:cs="Deutsche Bank Text"/>
        </w:rPr>
      </w:pPr>
      <w:r w:rsidRPr="00C12D52">
        <w:rPr>
          <w:rFonts w:cs="Deutsche Bank Text"/>
        </w:rPr>
        <w:t xml:space="preserve">The Bank will also share its views with the issuer/ offeror </w:t>
      </w:r>
      <w:r w:rsidR="00EF3839" w:rsidRPr="00C12D52">
        <w:rPr>
          <w:rFonts w:cs="Deutsche Bank Text"/>
        </w:rPr>
        <w:t>Client</w:t>
      </w:r>
      <w:r w:rsidRPr="00C12D52">
        <w:rPr>
          <w:rFonts w:cs="Deutsche Bank Text"/>
        </w:rPr>
        <w:t xml:space="preserve"> on the best timing for an offering. Views will be based on </w:t>
      </w:r>
      <w:r w:rsidR="00EF3839" w:rsidRPr="00C12D52">
        <w:rPr>
          <w:rFonts w:cs="Deutsche Bank Text"/>
        </w:rPr>
        <w:t>Client</w:t>
      </w:r>
      <w:r w:rsidRPr="00C12D52">
        <w:rPr>
          <w:rFonts w:cs="Deutsche Bank Text"/>
        </w:rPr>
        <w:t xml:space="preserve"> requirements, market conduct factors and </w:t>
      </w:r>
      <w:proofErr w:type="gramStart"/>
      <w:r w:rsidRPr="00C12D52">
        <w:rPr>
          <w:rFonts w:cs="Deutsche Bank Text"/>
        </w:rPr>
        <w:t>taking into account</w:t>
      </w:r>
      <w:proofErr w:type="gramEnd"/>
      <w:r w:rsidRPr="00C12D52">
        <w:rPr>
          <w:rFonts w:cs="Deutsche Bank Text"/>
        </w:rPr>
        <w:t xml:space="preserve"> current </w:t>
      </w:r>
      <w:r w:rsidRPr="00C12D52">
        <w:rPr>
          <w:rFonts w:cs="Deutsche Bank Text"/>
        </w:rPr>
        <w:lastRenderedPageBreak/>
        <w:t xml:space="preserve">and expected market conditions. If any hedging or stabilisation is expected to be undertaken in relation to the transaction, </w:t>
      </w:r>
      <w:r w:rsidR="00CD60E3" w:rsidRPr="00C12D52">
        <w:rPr>
          <w:rFonts w:cs="Deutsche Bank Text"/>
        </w:rPr>
        <w:t>the Bank will</w:t>
      </w:r>
      <w:r w:rsidRPr="00C12D52">
        <w:rPr>
          <w:rFonts w:cs="Deutsche Bank Text"/>
        </w:rPr>
        <w:t xml:space="preserve"> also discus</w:t>
      </w:r>
      <w:r w:rsidR="00CD60E3" w:rsidRPr="00C12D52">
        <w:rPr>
          <w:rFonts w:cs="Deutsche Bank Text"/>
        </w:rPr>
        <w:t>s this</w:t>
      </w:r>
      <w:r w:rsidRPr="00C12D52">
        <w:rPr>
          <w:rFonts w:cs="Deutsche Bank Text"/>
        </w:rPr>
        <w:t xml:space="preserve"> with the issuer/ offeror </w:t>
      </w:r>
      <w:r w:rsidR="00EF3839" w:rsidRPr="00C12D52">
        <w:rPr>
          <w:rFonts w:cs="Deutsche Bank Text"/>
        </w:rPr>
        <w:t>Client</w:t>
      </w:r>
      <w:r w:rsidRPr="00C12D52">
        <w:rPr>
          <w:rFonts w:cs="Deutsche Bank Text"/>
        </w:rPr>
        <w:t>.</w:t>
      </w:r>
    </w:p>
    <w:p w14:paraId="7977AE6B" w14:textId="74C0A005" w:rsidR="003D6565" w:rsidRPr="00C12D52" w:rsidRDefault="003D6565" w:rsidP="003D6565">
      <w:pPr>
        <w:pStyle w:val="berschrift1"/>
      </w:pPr>
      <w:bookmarkStart w:id="9" w:name="_Toc152235923"/>
      <w:r w:rsidRPr="00C12D52">
        <w:t>Restricted Allocations</w:t>
      </w:r>
      <w:bookmarkEnd w:id="9"/>
      <w:r w:rsidRPr="00C12D52">
        <w:t xml:space="preserve"> </w:t>
      </w:r>
    </w:p>
    <w:p w14:paraId="7400EE4F" w14:textId="1B657BBD" w:rsidR="003D6565" w:rsidRPr="00C12D52" w:rsidRDefault="003D6565" w:rsidP="003D6565">
      <w:pPr>
        <w:autoSpaceDE w:val="0"/>
        <w:autoSpaceDN w:val="0"/>
        <w:adjustRightInd w:val="0"/>
        <w:rPr>
          <w:rFonts w:cs="Deutsche Bank Text"/>
        </w:rPr>
      </w:pPr>
      <w:r w:rsidRPr="00C12D52">
        <w:rPr>
          <w:rFonts w:cs="Deutsche Bank Text"/>
        </w:rPr>
        <w:t xml:space="preserve">The Bank prohibits making agreements or quid pro quo arrangements of any kind with investors in return for allocations. Allocations will not be made </w:t>
      </w:r>
      <w:proofErr w:type="gramStart"/>
      <w:r w:rsidRPr="00C12D52">
        <w:rPr>
          <w:rFonts w:cs="Deutsche Bank Text"/>
        </w:rPr>
        <w:t>on the basis of</w:t>
      </w:r>
      <w:proofErr w:type="gramEnd"/>
      <w:r w:rsidRPr="00C12D52">
        <w:rPr>
          <w:rFonts w:cs="Deutsche Bank Text"/>
        </w:rPr>
        <w:t xml:space="preserve"> any of the following:</w:t>
      </w:r>
    </w:p>
    <w:p w14:paraId="62C33C91" w14:textId="64239B11" w:rsidR="003D6565" w:rsidRPr="00C12D52" w:rsidRDefault="003D6565" w:rsidP="003D6565">
      <w:pPr>
        <w:pStyle w:val="BulletList"/>
        <w:ind w:left="737" w:hanging="357"/>
      </w:pPr>
      <w:r w:rsidRPr="00C12D52">
        <w:t>Profit-sharing agreement with the investor, relating to the trading of new issue securities</w:t>
      </w:r>
      <w:r w:rsidR="00292AAE" w:rsidRPr="00C12D52">
        <w:t>;</w:t>
      </w:r>
    </w:p>
    <w:p w14:paraId="76F767DB" w14:textId="4B773AB9" w:rsidR="003D6565" w:rsidRPr="00C12D52" w:rsidRDefault="003D6565" w:rsidP="003D6565">
      <w:pPr>
        <w:pStyle w:val="BulletList"/>
        <w:ind w:left="737" w:hanging="357"/>
      </w:pPr>
      <w:r w:rsidRPr="00C12D52">
        <w:t>Agreements with the investor to direct future business to the bank or its affiliates</w:t>
      </w:r>
      <w:r w:rsidR="00292AAE" w:rsidRPr="00C12D52">
        <w:t>;</w:t>
      </w:r>
    </w:p>
    <w:p w14:paraId="0C582CF4" w14:textId="0AC79223" w:rsidR="003D6565" w:rsidRPr="00C12D52" w:rsidRDefault="003D6565" w:rsidP="003D6565">
      <w:pPr>
        <w:pStyle w:val="BulletList"/>
        <w:ind w:left="737" w:hanging="357"/>
      </w:pPr>
      <w:r w:rsidRPr="00C12D52">
        <w:t>Incentivisation via payment of a large amount of fees for unrelated services provided by the bank (‘laddering’)</w:t>
      </w:r>
      <w:r w:rsidR="00292AAE" w:rsidRPr="00C12D52">
        <w:t>;</w:t>
      </w:r>
    </w:p>
    <w:p w14:paraId="2DC151CD" w14:textId="59424FF8" w:rsidR="003D6565" w:rsidRPr="00C12D52" w:rsidRDefault="003D6565" w:rsidP="003D6565">
      <w:pPr>
        <w:pStyle w:val="BulletList"/>
        <w:ind w:left="737" w:hanging="357"/>
      </w:pPr>
      <w:r w:rsidRPr="00C12D52">
        <w:t xml:space="preserve">‘Spinning’ – allocations to senior executives or corporate officers of an existing or potential issuer/ offeror </w:t>
      </w:r>
      <w:r w:rsidR="00EF3839" w:rsidRPr="00C12D52">
        <w:t>Client</w:t>
      </w:r>
      <w:r w:rsidRPr="00C12D52">
        <w:t xml:space="preserve"> in consideration for future or past award of corporate finance business</w:t>
      </w:r>
      <w:r w:rsidR="00292AAE" w:rsidRPr="00C12D52">
        <w:t>;</w:t>
      </w:r>
    </w:p>
    <w:p w14:paraId="6C6BF20C" w14:textId="623F4B5C" w:rsidR="003D6565" w:rsidRPr="00C12D52" w:rsidRDefault="003D6565" w:rsidP="003D6565">
      <w:pPr>
        <w:pStyle w:val="BulletList"/>
        <w:ind w:left="737" w:hanging="357"/>
      </w:pPr>
      <w:r w:rsidRPr="00C12D52">
        <w:t>Understandings that the allocation is made as compensation for customer complaints and/or prior losses suffered by the investor</w:t>
      </w:r>
      <w:r w:rsidR="00292AAE" w:rsidRPr="00C12D52">
        <w:t>;</w:t>
      </w:r>
    </w:p>
    <w:p w14:paraId="0431A8A1" w14:textId="3B18353D" w:rsidR="003D6565" w:rsidRPr="00C12D52" w:rsidRDefault="003D6565" w:rsidP="003D6565">
      <w:pPr>
        <w:pStyle w:val="BulletList"/>
        <w:ind w:left="737" w:hanging="357"/>
      </w:pPr>
      <w:r w:rsidRPr="00C12D52">
        <w:t>Soliciting or accepting secondary market orders from investors prior to completion of the distribution of the offering (i.e. breaking syndicate)</w:t>
      </w:r>
      <w:r w:rsidR="00292AAE" w:rsidRPr="00C12D52">
        <w:t>;</w:t>
      </w:r>
    </w:p>
    <w:p w14:paraId="001EDC1E" w14:textId="021AE021" w:rsidR="003D6565" w:rsidRPr="00C12D52" w:rsidRDefault="003D6565" w:rsidP="003D6565">
      <w:pPr>
        <w:pStyle w:val="BulletList"/>
        <w:ind w:left="737" w:hanging="357"/>
      </w:pPr>
      <w:r w:rsidRPr="00C12D52">
        <w:t>Agreements to consider the investor for future allocations in return for subscription to a current offering</w:t>
      </w:r>
      <w:r w:rsidR="00292AAE" w:rsidRPr="00C12D52">
        <w:t>;</w:t>
      </w:r>
    </w:p>
    <w:p w14:paraId="3AEF2425" w14:textId="2DF83279" w:rsidR="003D6565" w:rsidRPr="00C12D52" w:rsidRDefault="003D6565" w:rsidP="003D6565">
      <w:pPr>
        <w:pStyle w:val="BulletList"/>
        <w:ind w:left="737" w:hanging="357"/>
      </w:pPr>
      <w:r w:rsidRPr="00C12D52">
        <w:t>Soliciting at what prices and in what quantities investors will purchase securities in the immediate aftermarket</w:t>
      </w:r>
      <w:r w:rsidR="00292AAE" w:rsidRPr="00C12D52">
        <w:t>;</w:t>
      </w:r>
    </w:p>
    <w:p w14:paraId="61AE5ECC" w14:textId="31E7EFBD" w:rsidR="003D6565" w:rsidRPr="00C12D52" w:rsidRDefault="003D6565" w:rsidP="006F2855">
      <w:pPr>
        <w:pStyle w:val="BulletList"/>
        <w:ind w:left="737" w:hanging="357"/>
        <w:rPr>
          <w:rFonts w:cs="Deutsche Bank Text"/>
          <w:b/>
          <w:bCs/>
        </w:rPr>
      </w:pPr>
      <w:r w:rsidRPr="00C12D52">
        <w:t>Agreements to purchase securities in the aftermarket at escalating prices or in exchange for a commitment to engage in after-market buying</w:t>
      </w:r>
      <w:r w:rsidR="00292AAE" w:rsidRPr="00C12D52">
        <w:t>;</w:t>
      </w:r>
    </w:p>
    <w:p w14:paraId="31E370F0" w14:textId="7C5EBF30" w:rsidR="003D6565" w:rsidRPr="00C12D52" w:rsidRDefault="003D6565" w:rsidP="003D6565">
      <w:pPr>
        <w:pStyle w:val="BulletList"/>
        <w:ind w:left="737" w:hanging="357"/>
      </w:pPr>
      <w:r w:rsidRPr="00C12D52">
        <w:t>Passing on rebates to investors</w:t>
      </w:r>
      <w:r w:rsidR="00292AAE" w:rsidRPr="00C12D52">
        <w:t>; or</w:t>
      </w:r>
    </w:p>
    <w:p w14:paraId="7D708512" w14:textId="77777777" w:rsidR="003D6565" w:rsidRPr="00C12D52" w:rsidRDefault="003D6565" w:rsidP="003D6565">
      <w:pPr>
        <w:pStyle w:val="BulletList"/>
        <w:ind w:left="737" w:hanging="357"/>
      </w:pPr>
      <w:r w:rsidRPr="00C12D52">
        <w:t>Any orders not representing bona fide demand.</w:t>
      </w:r>
    </w:p>
    <w:p w14:paraId="67FFE9E0" w14:textId="0BB71DEA" w:rsidR="003D6565" w:rsidRPr="00C12D52" w:rsidRDefault="003D6565" w:rsidP="003D6565">
      <w:pPr>
        <w:autoSpaceDE w:val="0"/>
        <w:autoSpaceDN w:val="0"/>
        <w:adjustRightInd w:val="0"/>
        <w:rPr>
          <w:rFonts w:cs="Deutsche Bank Text"/>
        </w:rPr>
      </w:pPr>
      <w:r w:rsidRPr="00C12D52">
        <w:rPr>
          <w:rFonts w:cs="Deutsche Bank Text"/>
        </w:rPr>
        <w:t xml:space="preserve">The above list is illustrative and does not constitute an exhaustive list of prohibited allocation arrangements. </w:t>
      </w:r>
    </w:p>
    <w:p w14:paraId="4AB4DA4C" w14:textId="77777777" w:rsidR="003D6565" w:rsidRPr="00C12D52" w:rsidRDefault="003D6565" w:rsidP="003D6565">
      <w:pPr>
        <w:autoSpaceDE w:val="0"/>
        <w:autoSpaceDN w:val="0"/>
        <w:adjustRightInd w:val="0"/>
        <w:contextualSpacing/>
        <w:rPr>
          <w:rFonts w:cs="Deutsche Bank Text"/>
        </w:rPr>
      </w:pPr>
    </w:p>
    <w:sectPr w:rsidR="003D6565" w:rsidRPr="00C12D52" w:rsidSect="00A93439">
      <w:headerReference w:type="even" r:id="rId12"/>
      <w:headerReference w:type="default" r:id="rId13"/>
      <w:footerReference w:type="default" r:id="rId14"/>
      <w:headerReference w:type="first" r:id="rId15"/>
      <w:pgSz w:w="11906" w:h="16838" w:code="9"/>
      <w:pgMar w:top="1797" w:right="1418" w:bottom="709" w:left="1418" w:header="425"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347DB" w14:textId="77777777" w:rsidR="0097560A" w:rsidRDefault="0097560A" w:rsidP="00F3399C">
      <w:pPr>
        <w:spacing w:after="0" w:line="240" w:lineRule="auto"/>
      </w:pPr>
      <w:r>
        <w:separator/>
      </w:r>
    </w:p>
  </w:endnote>
  <w:endnote w:type="continuationSeparator" w:id="0">
    <w:p w14:paraId="07CDF16E" w14:textId="77777777" w:rsidR="0097560A" w:rsidRDefault="0097560A" w:rsidP="00F3399C">
      <w:pPr>
        <w:spacing w:after="0" w:line="240" w:lineRule="auto"/>
      </w:pPr>
      <w:r>
        <w:continuationSeparator/>
      </w:r>
    </w:p>
  </w:endnote>
  <w:endnote w:type="continuationNotice" w:id="1">
    <w:p w14:paraId="473964DD" w14:textId="77777777" w:rsidR="0097560A" w:rsidRDefault="00975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utsche Bank Text">
    <w:panose1 w:val="020B0503020202030204"/>
    <w:charset w:val="00"/>
    <w:family w:val="swiss"/>
    <w:pitch w:val="variable"/>
    <w:sig w:usb0="A000006F" w:usb1="0000006B" w:usb2="00000028"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utsche Bank Display">
    <w:panose1 w:val="020F0403020203030304"/>
    <w:charset w:val="00"/>
    <w:family w:val="swiss"/>
    <w:pitch w:val="variable"/>
    <w:sig w:usb0="A000006F" w:usb1="0000006B" w:usb2="00000028"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91E8" w14:textId="03D8ED5E" w:rsidR="009A0725" w:rsidRDefault="00CA4D62" w:rsidP="00E829A4">
    <w:pPr>
      <w:pStyle w:val="Fuzeile"/>
    </w:pPr>
    <w:r>
      <w:rPr>
        <w:noProof/>
      </w:rPr>
      <mc:AlternateContent>
        <mc:Choice Requires="wps">
          <w:drawing>
            <wp:anchor distT="0" distB="0" distL="114300" distR="114300" simplePos="0" relativeHeight="251665408" behindDoc="0" locked="0" layoutInCell="0" allowOverlap="1" wp14:anchorId="3416E3F9" wp14:editId="10CB5AD0">
              <wp:simplePos x="0" y="0"/>
              <wp:positionH relativeFrom="page">
                <wp:posOffset>0</wp:posOffset>
              </wp:positionH>
              <wp:positionV relativeFrom="page">
                <wp:posOffset>10227945</wp:posOffset>
              </wp:positionV>
              <wp:extent cx="7560310" cy="273050"/>
              <wp:effectExtent l="0" t="0" r="0" b="12700"/>
              <wp:wrapNone/>
              <wp:docPr id="9" name="MSIPCMfb054b40a28cbd063ae7e914" descr="{&quot;HashCode&quot;:118669417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700E89" w14:textId="4749272D" w:rsidR="00CA4D62" w:rsidRPr="00CA4D62" w:rsidRDefault="00CA4D62" w:rsidP="00CA4D62">
                          <w:pPr>
                            <w:spacing w:before="0"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16E3F9" id="_x0000_t202" coordsize="21600,21600" o:spt="202" path="m,l,21600r21600,l21600,xe">
              <v:stroke joinstyle="miter"/>
              <v:path gradientshapeok="t" o:connecttype="rect"/>
            </v:shapetype>
            <v:shape id="MSIPCMfb054b40a28cbd063ae7e914" o:spid="_x0000_s1026" type="#_x0000_t202" alt="{&quot;HashCode&quot;:1186694174,&quot;Height&quot;:841.0,&quot;Width&quot;:595.0,&quot;Placement&quot;:&quot;Footer&quot;,&quot;Index&quot;:&quot;Primary&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7700E89" w14:textId="4749272D" w:rsidR="00CA4D62" w:rsidRPr="00CA4D62" w:rsidRDefault="00CA4D62" w:rsidP="00CA4D62">
                    <w:pPr>
                      <w:spacing w:before="0" w:after="0"/>
                      <w:jc w:val="center"/>
                      <w:rPr>
                        <w:rFonts w:ascii="Calibri" w:hAnsi="Calibri" w:cs="Calibri"/>
                        <w:color w:val="000000"/>
                      </w:rPr>
                    </w:pPr>
                  </w:p>
                </w:txbxContent>
              </v:textbox>
              <w10:wrap anchorx="page" anchory="page"/>
            </v:shape>
          </w:pict>
        </mc:Fallback>
      </mc:AlternateContent>
    </w:r>
    <w:r w:rsidR="009A0725">
      <w:ptab w:relativeTo="margin" w:alignment="center" w:leader="none"/>
    </w:r>
    <w:r w:rsidR="009A0725">
      <w:ptab w:relativeTo="margin" w:alignment="right" w:leader="none"/>
    </w:r>
    <w:r w:rsidR="009A0725">
      <w:t xml:space="preserve">Page </w:t>
    </w:r>
    <w:r w:rsidR="009A0725">
      <w:fldChar w:fldCharType="begin"/>
    </w:r>
    <w:r w:rsidR="009A0725">
      <w:instrText xml:space="preserve"> PAGE  \* Arabic  \* MERGEFORMAT </w:instrText>
    </w:r>
    <w:r w:rsidR="009A0725">
      <w:fldChar w:fldCharType="separate"/>
    </w:r>
    <w:r w:rsidR="009A0725">
      <w:rPr>
        <w:noProof/>
      </w:rPr>
      <w:t>1</w:t>
    </w:r>
    <w:r w:rsidR="009A0725">
      <w:fldChar w:fldCharType="end"/>
    </w:r>
    <w:r w:rsidR="009A0725">
      <w:t xml:space="preserve"> of </w:t>
    </w:r>
    <w:fldSimple w:instr="NUMPAGES  \* MERGEFORMAT">
      <w:r w:rsidR="009A0725">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AD5E" w14:textId="77777777" w:rsidR="0097560A" w:rsidRDefault="0097560A" w:rsidP="00F3399C">
      <w:pPr>
        <w:spacing w:after="0" w:line="240" w:lineRule="auto"/>
      </w:pPr>
      <w:r>
        <w:separator/>
      </w:r>
    </w:p>
  </w:footnote>
  <w:footnote w:type="continuationSeparator" w:id="0">
    <w:p w14:paraId="73546CD6" w14:textId="77777777" w:rsidR="0097560A" w:rsidRDefault="0097560A" w:rsidP="00F3399C">
      <w:pPr>
        <w:spacing w:after="0" w:line="240" w:lineRule="auto"/>
      </w:pPr>
      <w:r>
        <w:continuationSeparator/>
      </w:r>
    </w:p>
  </w:footnote>
  <w:footnote w:type="continuationNotice" w:id="1">
    <w:p w14:paraId="1BD3E003" w14:textId="77777777" w:rsidR="0097560A" w:rsidRDefault="009756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8834" w14:textId="77777777" w:rsidR="009A0725" w:rsidRDefault="009A0725">
    <w:pPr>
      <w:pStyle w:val="Kopfzeile"/>
    </w:pPr>
  </w:p>
  <w:p w14:paraId="1CB6F98D" w14:textId="77777777" w:rsidR="009A0725" w:rsidRDefault="009A07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alias w:val="Title"/>
      <w:tag w:val=""/>
      <w:id w:val="57295924"/>
      <w:placeholder>
        <w:docPart w:val="84F2E111ABD445949712357803FA9170"/>
      </w:placeholder>
      <w:dataBinding w:prefixMappings="xmlns:ns0='http://purl.org/dc/elements/1.1/' xmlns:ns1='http://schemas.openxmlformats.org/package/2006/metadata/core-properties' " w:xpath="/ns1:coreProperties[1]/ns0:title[1]" w:storeItemID="{6C3C8BC8-F283-45AE-878A-BAB7291924A1}"/>
      <w:text/>
    </w:sdtPr>
    <w:sdtContent>
      <w:p w14:paraId="660EB6B0" w14:textId="0D194E61" w:rsidR="009A0725" w:rsidRPr="00CE442A" w:rsidRDefault="00CE442A" w:rsidP="00CE442A">
        <w:pPr>
          <w:pStyle w:val="Kopfzeile"/>
          <w:rPr>
            <w:lang w:val="en-US"/>
          </w:rPr>
        </w:pPr>
        <w:r>
          <w:rPr>
            <w:lang w:val="en-US"/>
          </w:rPr>
          <w:t>Capital Markets Allocation Policy – Investment and Corporate Bank – EMEA (incl. UKI and Germany) and APAC</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0EF7" w14:textId="043C1250" w:rsidR="009A0725" w:rsidRDefault="009A0725" w:rsidP="004B3AD0">
    <w:pPr>
      <w:pStyle w:val="identifier"/>
    </w:pPr>
    <w:r w:rsidRPr="00ED02ED">
      <w:rPr>
        <w:sz w:val="27"/>
        <w:szCs w:val="27"/>
        <w:lang w:eastAsia="de-DE"/>
      </w:rPr>
      <w:drawing>
        <wp:anchor distT="0" distB="0" distL="114300" distR="114300" simplePos="0" relativeHeight="251648000" behindDoc="1" locked="0" layoutInCell="0" allowOverlap="1" wp14:anchorId="34A04433" wp14:editId="0F9744CF">
          <wp:simplePos x="0" y="0"/>
          <wp:positionH relativeFrom="page">
            <wp:posOffset>360045</wp:posOffset>
          </wp:positionH>
          <wp:positionV relativeFrom="page">
            <wp:posOffset>1440180</wp:posOffset>
          </wp:positionV>
          <wp:extent cx="6912000" cy="5691600"/>
          <wp:effectExtent l="0" t="0" r="3175" b="4445"/>
          <wp:wrapNone/>
          <wp:docPr id="24" name="Bild 253" descr="Cover_Policy_bg_100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53" descr="Cover_Policy_bg_1002_01"/>
                  <pic:cNvPicPr>
                    <a:picLocks noChangeAspect="1" noChangeArrowheads="1"/>
                  </pic:cNvPicPr>
                </pic:nvPicPr>
                <pic:blipFill>
                  <a:blip r:embed="rId1"/>
                  <a:srcRect b="28896"/>
                  <a:stretch>
                    <a:fillRect/>
                  </a:stretch>
                </pic:blipFill>
                <pic:spPr bwMode="auto">
                  <a:xfrm>
                    <a:off x="0" y="0"/>
                    <a:ext cx="6912000" cy="569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10F57">
      <w:t>Deutsche Bank</w:t>
    </w:r>
    <w:r w:rsidRPr="00610F57">
      <mc:AlternateContent>
        <mc:Choice Requires="wps">
          <w:drawing>
            <wp:anchor distT="0" distB="0" distL="114300" distR="114300" simplePos="0" relativeHeight="251639808" behindDoc="0" locked="1" layoutInCell="0" allowOverlap="1" wp14:anchorId="5D9D428F" wp14:editId="5F955282">
              <wp:simplePos x="0" y="0"/>
              <wp:positionH relativeFrom="page">
                <wp:posOffset>6409055</wp:posOffset>
              </wp:positionH>
              <wp:positionV relativeFrom="page">
                <wp:posOffset>288290</wp:posOffset>
              </wp:positionV>
              <wp:extent cx="576000" cy="576000"/>
              <wp:effectExtent l="0" t="0" r="0" b="0"/>
              <wp:wrapNone/>
              <wp:docPr id="16" name="Freeform 16" descr="Deutsche Bank 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76000" cy="576000"/>
                      </a:xfrm>
                      <a:custGeom>
                        <a:avLst/>
                        <a:gdLst>
                          <a:gd name="T0" fmla="*/ 505 w 3609"/>
                          <a:gd name="T1" fmla="*/ 505 h 3609"/>
                          <a:gd name="T2" fmla="*/ 505 w 3609"/>
                          <a:gd name="T3" fmla="*/ 3103 h 3609"/>
                          <a:gd name="T4" fmla="*/ 3101 w 3609"/>
                          <a:gd name="T5" fmla="*/ 3103 h 3609"/>
                          <a:gd name="T6" fmla="*/ 3101 w 3609"/>
                          <a:gd name="T7" fmla="*/ 505 h 3609"/>
                          <a:gd name="T8" fmla="*/ 505 w 3609"/>
                          <a:gd name="T9" fmla="*/ 505 h 3609"/>
                          <a:gd name="T10" fmla="*/ 0 w 3609"/>
                          <a:gd name="T11" fmla="*/ 0 h 3609"/>
                          <a:gd name="T12" fmla="*/ 3609 w 3609"/>
                          <a:gd name="T13" fmla="*/ 0 h 3609"/>
                          <a:gd name="T14" fmla="*/ 3609 w 3609"/>
                          <a:gd name="T15" fmla="*/ 3609 h 3609"/>
                          <a:gd name="T16" fmla="*/ 0 w 3609"/>
                          <a:gd name="T17" fmla="*/ 3609 h 3609"/>
                          <a:gd name="T18" fmla="*/ 0 w 3609"/>
                          <a:gd name="T19" fmla="*/ 0 h 3609"/>
                          <a:gd name="T20" fmla="*/ 795 w 3609"/>
                          <a:gd name="T21" fmla="*/ 2745 h 3609"/>
                          <a:gd name="T22" fmla="*/ 2166 w 3609"/>
                          <a:gd name="T23" fmla="*/ 866 h 3609"/>
                          <a:gd name="T24" fmla="*/ 2814 w 3609"/>
                          <a:gd name="T25" fmla="*/ 866 h 3609"/>
                          <a:gd name="T26" fmla="*/ 1443 w 3609"/>
                          <a:gd name="T27" fmla="*/ 2745 h 3609"/>
                          <a:gd name="T28" fmla="*/ 795 w 3609"/>
                          <a:gd name="T29" fmla="*/ 2745 h 3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09" h="3609">
                            <a:moveTo>
                              <a:pt x="505" y="505"/>
                            </a:moveTo>
                            <a:lnTo>
                              <a:pt x="505" y="3103"/>
                            </a:lnTo>
                            <a:lnTo>
                              <a:pt x="3101" y="3103"/>
                            </a:lnTo>
                            <a:lnTo>
                              <a:pt x="3101" y="505"/>
                            </a:lnTo>
                            <a:lnTo>
                              <a:pt x="505" y="505"/>
                            </a:lnTo>
                            <a:close/>
                            <a:moveTo>
                              <a:pt x="0" y="0"/>
                            </a:moveTo>
                            <a:lnTo>
                              <a:pt x="3609" y="0"/>
                            </a:lnTo>
                            <a:lnTo>
                              <a:pt x="3609" y="3609"/>
                            </a:lnTo>
                            <a:lnTo>
                              <a:pt x="0" y="3609"/>
                            </a:lnTo>
                            <a:lnTo>
                              <a:pt x="0" y="0"/>
                            </a:lnTo>
                            <a:close/>
                            <a:moveTo>
                              <a:pt x="795" y="2745"/>
                            </a:moveTo>
                            <a:lnTo>
                              <a:pt x="2166" y="866"/>
                            </a:lnTo>
                            <a:lnTo>
                              <a:pt x="2814" y="866"/>
                            </a:lnTo>
                            <a:lnTo>
                              <a:pt x="1443" y="2745"/>
                            </a:lnTo>
                            <a:lnTo>
                              <a:pt x="795" y="2745"/>
                            </a:lnTo>
                            <a:close/>
                          </a:path>
                        </a:pathLst>
                      </a:custGeom>
                      <a:solidFill>
                        <a:srgbClr val="0018A8"/>
                      </a:solidFill>
                      <a:ln>
                        <a:noFill/>
                      </a:ln>
                      <a:extLst>
                        <a:ext uri="{91240B29-F687-4F45-9708-019B960494DF}">
                          <a14:hiddenLine xmlns:a14="http://schemas.microsoft.com/office/drawing/2010/main" w="0">
                            <a:solidFill>
                              <a:srgbClr val="0018A8"/>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180B3" id="Freeform 16" o:spid="_x0000_s1026" alt="Deutsche Bank logo" style="position:absolute;margin-left:504.65pt;margin-top:22.7pt;width:45.35pt;height:45.3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0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" o:allowincell="f" path="m505,505r,2598l3101,3103r,-2598l505,505xm,l3609,r,3609l,3609,,xm795,2745l2166,866r648,l1443,2745r-648,xe" fillcolor="#0018a8" stroked="f" strokecolor="#0018a8" strokeweight="0">
              <v:path arrowok="t" o:connecttype="custom" o:connectlocs="80599,80599;80599,495242;494923,495242;494923,80599;80599,80599;0,0;576000,0;576000,576000;0,576000;0,0;126883,438105;345696,138214;449117,138214;230304,438105;126883,438105" o:connectangles="0,0,0,0,0,0,0,0,0,0,0,0,0,0,0"/>
              <o:lock v:ext="edit" verticies="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C834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0CA2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BC6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B499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CAEC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1AF5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D806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0221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9A4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2C68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46690"/>
    <w:multiLevelType w:val="hybridMultilevel"/>
    <w:tmpl w:val="DBEEF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9247C7"/>
    <w:multiLevelType w:val="hybridMultilevel"/>
    <w:tmpl w:val="A2A66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B32615"/>
    <w:multiLevelType w:val="hybridMultilevel"/>
    <w:tmpl w:val="BDEA5212"/>
    <w:lvl w:ilvl="0" w:tplc="6F7C757E">
      <w:start w:val="1"/>
      <w:numFmt w:val="decimal"/>
      <w:lvlText w:val="1.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6491225"/>
    <w:multiLevelType w:val="hybridMultilevel"/>
    <w:tmpl w:val="8802150A"/>
    <w:lvl w:ilvl="0" w:tplc="2FAAD4C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256F94"/>
    <w:multiLevelType w:val="hybridMultilevel"/>
    <w:tmpl w:val="957E6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8C325A3"/>
    <w:multiLevelType w:val="multilevel"/>
    <w:tmpl w:val="A418B4D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1BF54E43"/>
    <w:multiLevelType w:val="hybridMultilevel"/>
    <w:tmpl w:val="A45864A4"/>
    <w:lvl w:ilvl="0" w:tplc="50DEEC3E">
      <w:start w:val="1"/>
      <w:numFmt w:val="bullet"/>
      <w:lvlText w:val="¾"/>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24C8563D"/>
    <w:multiLevelType w:val="hybridMultilevel"/>
    <w:tmpl w:val="78F24E56"/>
    <w:lvl w:ilvl="0" w:tplc="D99844C2">
      <w:start w:val="1"/>
      <w:numFmt w:val="decimal"/>
      <w:pStyle w:val="Listenabsatz"/>
      <w:lvlText w:val="%1."/>
      <w:lvlJc w:val="left"/>
      <w:pPr>
        <w:ind w:left="737" w:hanging="357"/>
      </w:pPr>
      <w:rPr>
        <w:rFonts w:hint="default"/>
      </w:rPr>
    </w:lvl>
    <w:lvl w:ilvl="1" w:tplc="89E2134A">
      <w:start w:val="1"/>
      <w:numFmt w:val="lowerLetter"/>
      <w:lvlText w:val="%2."/>
      <w:lvlJc w:val="left"/>
      <w:pPr>
        <w:ind w:left="1134" w:hanging="397"/>
      </w:pPr>
      <w:rPr>
        <w:rFonts w:hint="default"/>
      </w:r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8" w15:restartNumberingAfterBreak="0">
    <w:nsid w:val="352B7262"/>
    <w:multiLevelType w:val="hybridMultilevel"/>
    <w:tmpl w:val="D67E49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5596399"/>
    <w:multiLevelType w:val="hybridMultilevel"/>
    <w:tmpl w:val="AE686690"/>
    <w:lvl w:ilvl="0" w:tplc="177C612C">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77E1AB5"/>
    <w:multiLevelType w:val="hybridMultilevel"/>
    <w:tmpl w:val="79482624"/>
    <w:lvl w:ilvl="0" w:tplc="55DAF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6936F5"/>
    <w:multiLevelType w:val="hybridMultilevel"/>
    <w:tmpl w:val="8C68ED30"/>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A0A4005"/>
    <w:multiLevelType w:val="hybridMultilevel"/>
    <w:tmpl w:val="89168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86748BA"/>
    <w:multiLevelType w:val="hybridMultilevel"/>
    <w:tmpl w:val="306AE10A"/>
    <w:lvl w:ilvl="0" w:tplc="D6AC2BAE">
      <w:start w:val="1"/>
      <w:numFmt w:val="bullet"/>
      <w:pStyle w:val="BulletList"/>
      <w:lvlText w:val="―"/>
      <w:lvlJc w:val="left"/>
      <w:pPr>
        <w:ind w:left="738" w:hanging="360"/>
      </w:pPr>
      <w:rPr>
        <w:rFonts w:ascii="Arial" w:hAnsi="Arial" w:hint="default"/>
      </w:rPr>
    </w:lvl>
    <w:lvl w:ilvl="1" w:tplc="08090003">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24" w15:restartNumberingAfterBreak="0">
    <w:nsid w:val="4EED27EE"/>
    <w:multiLevelType w:val="hybridMultilevel"/>
    <w:tmpl w:val="C6F2CC14"/>
    <w:lvl w:ilvl="0" w:tplc="CBAAF066">
      <w:start w:val="1"/>
      <w:numFmt w:val="decimal"/>
      <w:pStyle w:val="Annex"/>
      <w:lvlText w:val="Annex %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045203F"/>
    <w:multiLevelType w:val="hybridMultilevel"/>
    <w:tmpl w:val="9692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B454D"/>
    <w:multiLevelType w:val="hybridMultilevel"/>
    <w:tmpl w:val="A91C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2C5AC4"/>
    <w:multiLevelType w:val="hybridMultilevel"/>
    <w:tmpl w:val="F0DE05CC"/>
    <w:lvl w:ilvl="0" w:tplc="895C33A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BB61F86"/>
    <w:multiLevelType w:val="hybridMultilevel"/>
    <w:tmpl w:val="39B4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30655"/>
    <w:multiLevelType w:val="hybridMultilevel"/>
    <w:tmpl w:val="32369DF8"/>
    <w:lvl w:ilvl="0" w:tplc="390A9B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DD1B32"/>
    <w:multiLevelType w:val="hybridMultilevel"/>
    <w:tmpl w:val="2620F4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6272915">
    <w:abstractNumId w:val="27"/>
  </w:num>
  <w:num w:numId="2" w16cid:durableId="667440132">
    <w:abstractNumId w:val="19"/>
  </w:num>
  <w:num w:numId="3" w16cid:durableId="633558011">
    <w:abstractNumId w:val="15"/>
  </w:num>
  <w:num w:numId="4" w16cid:durableId="2054620621">
    <w:abstractNumId w:val="12"/>
  </w:num>
  <w:num w:numId="5" w16cid:durableId="1019426287">
    <w:abstractNumId w:val="23"/>
  </w:num>
  <w:num w:numId="6" w16cid:durableId="437332014">
    <w:abstractNumId w:val="17"/>
  </w:num>
  <w:num w:numId="7" w16cid:durableId="1838308062">
    <w:abstractNumId w:val="24"/>
  </w:num>
  <w:num w:numId="8" w16cid:durableId="1456945752">
    <w:abstractNumId w:val="9"/>
  </w:num>
  <w:num w:numId="9" w16cid:durableId="1027098006">
    <w:abstractNumId w:val="7"/>
  </w:num>
  <w:num w:numId="10" w16cid:durableId="2121148091">
    <w:abstractNumId w:val="6"/>
  </w:num>
  <w:num w:numId="11" w16cid:durableId="1976982432">
    <w:abstractNumId w:val="5"/>
  </w:num>
  <w:num w:numId="12" w16cid:durableId="2024740629">
    <w:abstractNumId w:val="4"/>
  </w:num>
  <w:num w:numId="13" w16cid:durableId="344013834">
    <w:abstractNumId w:val="8"/>
  </w:num>
  <w:num w:numId="14" w16cid:durableId="2135054498">
    <w:abstractNumId w:val="3"/>
  </w:num>
  <w:num w:numId="15" w16cid:durableId="2009094047">
    <w:abstractNumId w:val="2"/>
  </w:num>
  <w:num w:numId="16" w16cid:durableId="872154258">
    <w:abstractNumId w:val="1"/>
  </w:num>
  <w:num w:numId="17" w16cid:durableId="1532767221">
    <w:abstractNumId w:val="0"/>
  </w:num>
  <w:num w:numId="18" w16cid:durableId="21789186">
    <w:abstractNumId w:val="13"/>
  </w:num>
  <w:num w:numId="19" w16cid:durableId="251624160">
    <w:abstractNumId w:val="16"/>
  </w:num>
  <w:num w:numId="20" w16cid:durableId="1645112720">
    <w:abstractNumId w:val="29"/>
  </w:num>
  <w:num w:numId="21" w16cid:durableId="1727558571">
    <w:abstractNumId w:val="18"/>
  </w:num>
  <w:num w:numId="22" w16cid:durableId="285241363">
    <w:abstractNumId w:val="30"/>
  </w:num>
  <w:num w:numId="23" w16cid:durableId="924724557">
    <w:abstractNumId w:val="14"/>
  </w:num>
  <w:num w:numId="24" w16cid:durableId="843083864">
    <w:abstractNumId w:val="22"/>
  </w:num>
  <w:num w:numId="25" w16cid:durableId="766540366">
    <w:abstractNumId w:val="25"/>
  </w:num>
  <w:num w:numId="26" w16cid:durableId="1377122991">
    <w:abstractNumId w:val="11"/>
  </w:num>
  <w:num w:numId="27" w16cid:durableId="1380667396">
    <w:abstractNumId w:val="10"/>
  </w:num>
  <w:num w:numId="28" w16cid:durableId="943462598">
    <w:abstractNumId w:val="23"/>
  </w:num>
  <w:num w:numId="29" w16cid:durableId="1905875075">
    <w:abstractNumId w:val="23"/>
  </w:num>
  <w:num w:numId="30" w16cid:durableId="1051658468">
    <w:abstractNumId w:val="28"/>
  </w:num>
  <w:num w:numId="31" w16cid:durableId="1094090323">
    <w:abstractNumId w:val="23"/>
  </w:num>
  <w:num w:numId="32" w16cid:durableId="1108430523">
    <w:abstractNumId w:val="23"/>
  </w:num>
  <w:num w:numId="33" w16cid:durableId="1099252919">
    <w:abstractNumId w:val="20"/>
  </w:num>
  <w:num w:numId="34" w16cid:durableId="1495536728">
    <w:abstractNumId w:val="26"/>
  </w:num>
  <w:num w:numId="35" w16cid:durableId="1063720430">
    <w:abstractNumId w:val="23"/>
  </w:num>
  <w:num w:numId="36" w16cid:durableId="536891393">
    <w:abstractNumId w:val="23"/>
  </w:num>
  <w:num w:numId="37" w16cid:durableId="769205739">
    <w:abstractNumId w:val="23"/>
  </w:num>
  <w:num w:numId="38" w16cid:durableId="563177323">
    <w:abstractNumId w:val="21"/>
  </w:num>
  <w:num w:numId="39" w16cid:durableId="9188346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1E8"/>
    <w:rsid w:val="00000250"/>
    <w:rsid w:val="00000668"/>
    <w:rsid w:val="00001C07"/>
    <w:rsid w:val="00002517"/>
    <w:rsid w:val="0000733A"/>
    <w:rsid w:val="000079B6"/>
    <w:rsid w:val="00011CA0"/>
    <w:rsid w:val="000120AB"/>
    <w:rsid w:val="0001276A"/>
    <w:rsid w:val="00012FE8"/>
    <w:rsid w:val="00013D4B"/>
    <w:rsid w:val="00015356"/>
    <w:rsid w:val="000153DE"/>
    <w:rsid w:val="00016F02"/>
    <w:rsid w:val="000206D8"/>
    <w:rsid w:val="0002104E"/>
    <w:rsid w:val="00021273"/>
    <w:rsid w:val="0002144D"/>
    <w:rsid w:val="00021697"/>
    <w:rsid w:val="00022301"/>
    <w:rsid w:val="0002271F"/>
    <w:rsid w:val="00022D1D"/>
    <w:rsid w:val="00022EDB"/>
    <w:rsid w:val="000260A5"/>
    <w:rsid w:val="0003023E"/>
    <w:rsid w:val="0003116E"/>
    <w:rsid w:val="0003164D"/>
    <w:rsid w:val="00033069"/>
    <w:rsid w:val="00033EE1"/>
    <w:rsid w:val="000348A7"/>
    <w:rsid w:val="00035C44"/>
    <w:rsid w:val="000376B4"/>
    <w:rsid w:val="000376DF"/>
    <w:rsid w:val="00037D4D"/>
    <w:rsid w:val="00040330"/>
    <w:rsid w:val="00041721"/>
    <w:rsid w:val="00041811"/>
    <w:rsid w:val="00042865"/>
    <w:rsid w:val="000445C3"/>
    <w:rsid w:val="00044B23"/>
    <w:rsid w:val="0004512D"/>
    <w:rsid w:val="00050576"/>
    <w:rsid w:val="00052A99"/>
    <w:rsid w:val="00053C38"/>
    <w:rsid w:val="00053EA5"/>
    <w:rsid w:val="00054430"/>
    <w:rsid w:val="00055DA4"/>
    <w:rsid w:val="0005719F"/>
    <w:rsid w:val="000576BF"/>
    <w:rsid w:val="00057D45"/>
    <w:rsid w:val="00057D78"/>
    <w:rsid w:val="00061582"/>
    <w:rsid w:val="00061CDD"/>
    <w:rsid w:val="00061EC7"/>
    <w:rsid w:val="00063959"/>
    <w:rsid w:val="00063EFF"/>
    <w:rsid w:val="000649B1"/>
    <w:rsid w:val="000649E6"/>
    <w:rsid w:val="000659BB"/>
    <w:rsid w:val="000711B9"/>
    <w:rsid w:val="00071588"/>
    <w:rsid w:val="00072D78"/>
    <w:rsid w:val="000730DB"/>
    <w:rsid w:val="00074932"/>
    <w:rsid w:val="000752A8"/>
    <w:rsid w:val="00075FFF"/>
    <w:rsid w:val="000760B2"/>
    <w:rsid w:val="00076C06"/>
    <w:rsid w:val="00076D69"/>
    <w:rsid w:val="00076E1C"/>
    <w:rsid w:val="00077B62"/>
    <w:rsid w:val="00081BED"/>
    <w:rsid w:val="0008201A"/>
    <w:rsid w:val="00083534"/>
    <w:rsid w:val="00084C49"/>
    <w:rsid w:val="000850CD"/>
    <w:rsid w:val="00086009"/>
    <w:rsid w:val="000861A5"/>
    <w:rsid w:val="00086488"/>
    <w:rsid w:val="00086E3E"/>
    <w:rsid w:val="00087684"/>
    <w:rsid w:val="0008797B"/>
    <w:rsid w:val="000904D7"/>
    <w:rsid w:val="00091116"/>
    <w:rsid w:val="000937F4"/>
    <w:rsid w:val="00093B43"/>
    <w:rsid w:val="00093FE6"/>
    <w:rsid w:val="00094561"/>
    <w:rsid w:val="0009777B"/>
    <w:rsid w:val="00097B99"/>
    <w:rsid w:val="000A2292"/>
    <w:rsid w:val="000A29D3"/>
    <w:rsid w:val="000A3CE7"/>
    <w:rsid w:val="000A570F"/>
    <w:rsid w:val="000A6D66"/>
    <w:rsid w:val="000B09E4"/>
    <w:rsid w:val="000B1668"/>
    <w:rsid w:val="000B30D2"/>
    <w:rsid w:val="000B3E12"/>
    <w:rsid w:val="000B3EA1"/>
    <w:rsid w:val="000B49C2"/>
    <w:rsid w:val="000B4C3F"/>
    <w:rsid w:val="000B4EB9"/>
    <w:rsid w:val="000B6494"/>
    <w:rsid w:val="000B70F2"/>
    <w:rsid w:val="000C0AC4"/>
    <w:rsid w:val="000C1F10"/>
    <w:rsid w:val="000C39C0"/>
    <w:rsid w:val="000C5BF0"/>
    <w:rsid w:val="000C5F22"/>
    <w:rsid w:val="000C6544"/>
    <w:rsid w:val="000C72EE"/>
    <w:rsid w:val="000D184F"/>
    <w:rsid w:val="000D268B"/>
    <w:rsid w:val="000D3869"/>
    <w:rsid w:val="000D404A"/>
    <w:rsid w:val="000D44FD"/>
    <w:rsid w:val="000D46D8"/>
    <w:rsid w:val="000D47FC"/>
    <w:rsid w:val="000D492A"/>
    <w:rsid w:val="000D6420"/>
    <w:rsid w:val="000D6C29"/>
    <w:rsid w:val="000D6F0D"/>
    <w:rsid w:val="000D765F"/>
    <w:rsid w:val="000D7E72"/>
    <w:rsid w:val="000E081D"/>
    <w:rsid w:val="000E0E00"/>
    <w:rsid w:val="000E1BE3"/>
    <w:rsid w:val="000E1C5A"/>
    <w:rsid w:val="000E2176"/>
    <w:rsid w:val="000E27E6"/>
    <w:rsid w:val="000E46EF"/>
    <w:rsid w:val="000E4DF2"/>
    <w:rsid w:val="000E5052"/>
    <w:rsid w:val="000E560B"/>
    <w:rsid w:val="000E7E02"/>
    <w:rsid w:val="000F0669"/>
    <w:rsid w:val="000F0FE6"/>
    <w:rsid w:val="000F1A56"/>
    <w:rsid w:val="000F1ADD"/>
    <w:rsid w:val="000F44FD"/>
    <w:rsid w:val="000F6100"/>
    <w:rsid w:val="000F6483"/>
    <w:rsid w:val="000F702D"/>
    <w:rsid w:val="000F7051"/>
    <w:rsid w:val="000F7091"/>
    <w:rsid w:val="001026BE"/>
    <w:rsid w:val="0010358C"/>
    <w:rsid w:val="001038F2"/>
    <w:rsid w:val="00105556"/>
    <w:rsid w:val="001059AC"/>
    <w:rsid w:val="00106BE7"/>
    <w:rsid w:val="00107827"/>
    <w:rsid w:val="00110839"/>
    <w:rsid w:val="001108B4"/>
    <w:rsid w:val="00111EE2"/>
    <w:rsid w:val="0011265F"/>
    <w:rsid w:val="00112764"/>
    <w:rsid w:val="001136FC"/>
    <w:rsid w:val="00114B36"/>
    <w:rsid w:val="001152EB"/>
    <w:rsid w:val="00115ADA"/>
    <w:rsid w:val="00117561"/>
    <w:rsid w:val="0011776E"/>
    <w:rsid w:val="00117960"/>
    <w:rsid w:val="001201C7"/>
    <w:rsid w:val="00122835"/>
    <w:rsid w:val="00123537"/>
    <w:rsid w:val="00123A3D"/>
    <w:rsid w:val="001244D3"/>
    <w:rsid w:val="001246A8"/>
    <w:rsid w:val="001265F8"/>
    <w:rsid w:val="00127204"/>
    <w:rsid w:val="001278EA"/>
    <w:rsid w:val="0012791A"/>
    <w:rsid w:val="00131489"/>
    <w:rsid w:val="00131517"/>
    <w:rsid w:val="0013308E"/>
    <w:rsid w:val="00136F3E"/>
    <w:rsid w:val="00137ADB"/>
    <w:rsid w:val="00137D07"/>
    <w:rsid w:val="00137F4C"/>
    <w:rsid w:val="001402DE"/>
    <w:rsid w:val="00141400"/>
    <w:rsid w:val="001419F3"/>
    <w:rsid w:val="00141A4A"/>
    <w:rsid w:val="001420C7"/>
    <w:rsid w:val="0014229F"/>
    <w:rsid w:val="0014554C"/>
    <w:rsid w:val="00147118"/>
    <w:rsid w:val="00147148"/>
    <w:rsid w:val="00147DDB"/>
    <w:rsid w:val="001501C3"/>
    <w:rsid w:val="0015177E"/>
    <w:rsid w:val="00151D60"/>
    <w:rsid w:val="00153CCF"/>
    <w:rsid w:val="00154F51"/>
    <w:rsid w:val="00155087"/>
    <w:rsid w:val="00155DC9"/>
    <w:rsid w:val="00156E9D"/>
    <w:rsid w:val="001576DF"/>
    <w:rsid w:val="00157CC3"/>
    <w:rsid w:val="00157F8D"/>
    <w:rsid w:val="00160D32"/>
    <w:rsid w:val="00162848"/>
    <w:rsid w:val="00163363"/>
    <w:rsid w:val="00163DFC"/>
    <w:rsid w:val="0016453A"/>
    <w:rsid w:val="001650DF"/>
    <w:rsid w:val="00166F66"/>
    <w:rsid w:val="00167998"/>
    <w:rsid w:val="0017049C"/>
    <w:rsid w:val="00170D97"/>
    <w:rsid w:val="00172793"/>
    <w:rsid w:val="00173329"/>
    <w:rsid w:val="001736FA"/>
    <w:rsid w:val="00173995"/>
    <w:rsid w:val="00173C5A"/>
    <w:rsid w:val="00174321"/>
    <w:rsid w:val="001754B7"/>
    <w:rsid w:val="001777B5"/>
    <w:rsid w:val="001778B0"/>
    <w:rsid w:val="00177921"/>
    <w:rsid w:val="001805E4"/>
    <w:rsid w:val="00181B72"/>
    <w:rsid w:val="00181CA4"/>
    <w:rsid w:val="00181E3E"/>
    <w:rsid w:val="00182AC1"/>
    <w:rsid w:val="00182EA8"/>
    <w:rsid w:val="00183556"/>
    <w:rsid w:val="001840F0"/>
    <w:rsid w:val="00185CCE"/>
    <w:rsid w:val="00186570"/>
    <w:rsid w:val="00186ADC"/>
    <w:rsid w:val="00186CBE"/>
    <w:rsid w:val="00187A19"/>
    <w:rsid w:val="00192597"/>
    <w:rsid w:val="00192F11"/>
    <w:rsid w:val="001934D4"/>
    <w:rsid w:val="001940A6"/>
    <w:rsid w:val="001954CA"/>
    <w:rsid w:val="0019626B"/>
    <w:rsid w:val="00196BB5"/>
    <w:rsid w:val="00197554"/>
    <w:rsid w:val="00197FE7"/>
    <w:rsid w:val="001A003B"/>
    <w:rsid w:val="001A0229"/>
    <w:rsid w:val="001A19CE"/>
    <w:rsid w:val="001A1AF4"/>
    <w:rsid w:val="001A1C4E"/>
    <w:rsid w:val="001A2597"/>
    <w:rsid w:val="001A4B23"/>
    <w:rsid w:val="001A5CB4"/>
    <w:rsid w:val="001A5DA9"/>
    <w:rsid w:val="001A63BC"/>
    <w:rsid w:val="001A6FE2"/>
    <w:rsid w:val="001A7097"/>
    <w:rsid w:val="001A783C"/>
    <w:rsid w:val="001B1A3D"/>
    <w:rsid w:val="001B2F0C"/>
    <w:rsid w:val="001B334D"/>
    <w:rsid w:val="001B351D"/>
    <w:rsid w:val="001B4120"/>
    <w:rsid w:val="001B5514"/>
    <w:rsid w:val="001B6328"/>
    <w:rsid w:val="001B6960"/>
    <w:rsid w:val="001B6EC7"/>
    <w:rsid w:val="001C0C54"/>
    <w:rsid w:val="001C5B2C"/>
    <w:rsid w:val="001C5B78"/>
    <w:rsid w:val="001C6420"/>
    <w:rsid w:val="001C648D"/>
    <w:rsid w:val="001C65CD"/>
    <w:rsid w:val="001C684A"/>
    <w:rsid w:val="001C68E7"/>
    <w:rsid w:val="001D1908"/>
    <w:rsid w:val="001D283A"/>
    <w:rsid w:val="001D2B61"/>
    <w:rsid w:val="001D381B"/>
    <w:rsid w:val="001D3DDA"/>
    <w:rsid w:val="001D4986"/>
    <w:rsid w:val="001D4A52"/>
    <w:rsid w:val="001D511B"/>
    <w:rsid w:val="001D6D16"/>
    <w:rsid w:val="001E0022"/>
    <w:rsid w:val="001E0999"/>
    <w:rsid w:val="001E29C7"/>
    <w:rsid w:val="001E340A"/>
    <w:rsid w:val="001E430F"/>
    <w:rsid w:val="001E438A"/>
    <w:rsid w:val="001E475E"/>
    <w:rsid w:val="001E61E8"/>
    <w:rsid w:val="001E6682"/>
    <w:rsid w:val="001E717F"/>
    <w:rsid w:val="001E7580"/>
    <w:rsid w:val="001E75C0"/>
    <w:rsid w:val="001E7EE6"/>
    <w:rsid w:val="001F2627"/>
    <w:rsid w:val="001F41B7"/>
    <w:rsid w:val="001F4462"/>
    <w:rsid w:val="001F48BA"/>
    <w:rsid w:val="001F4F26"/>
    <w:rsid w:val="001F57C6"/>
    <w:rsid w:val="001F5F2E"/>
    <w:rsid w:val="001F6517"/>
    <w:rsid w:val="001F65F1"/>
    <w:rsid w:val="002007B7"/>
    <w:rsid w:val="00200A34"/>
    <w:rsid w:val="002058D0"/>
    <w:rsid w:val="002058FE"/>
    <w:rsid w:val="00205F48"/>
    <w:rsid w:val="002079C5"/>
    <w:rsid w:val="002108D9"/>
    <w:rsid w:val="002117DB"/>
    <w:rsid w:val="00211A75"/>
    <w:rsid w:val="00212AEA"/>
    <w:rsid w:val="00212C4A"/>
    <w:rsid w:val="00213251"/>
    <w:rsid w:val="0021342A"/>
    <w:rsid w:val="00214A2D"/>
    <w:rsid w:val="00214D57"/>
    <w:rsid w:val="00214D69"/>
    <w:rsid w:val="00216143"/>
    <w:rsid w:val="002163B6"/>
    <w:rsid w:val="0021689E"/>
    <w:rsid w:val="00216C06"/>
    <w:rsid w:val="00216F0D"/>
    <w:rsid w:val="00217EB6"/>
    <w:rsid w:val="00220476"/>
    <w:rsid w:val="00220F3A"/>
    <w:rsid w:val="0022360D"/>
    <w:rsid w:val="00224CA8"/>
    <w:rsid w:val="002251E3"/>
    <w:rsid w:val="00226FAC"/>
    <w:rsid w:val="002278D7"/>
    <w:rsid w:val="00227A75"/>
    <w:rsid w:val="00230047"/>
    <w:rsid w:val="0023143B"/>
    <w:rsid w:val="00232385"/>
    <w:rsid w:val="00232A88"/>
    <w:rsid w:val="00232E55"/>
    <w:rsid w:val="00233371"/>
    <w:rsid w:val="002346B3"/>
    <w:rsid w:val="002355B6"/>
    <w:rsid w:val="00240D1C"/>
    <w:rsid w:val="00242316"/>
    <w:rsid w:val="002431FA"/>
    <w:rsid w:val="00243373"/>
    <w:rsid w:val="00243917"/>
    <w:rsid w:val="0024451A"/>
    <w:rsid w:val="0024531D"/>
    <w:rsid w:val="00245C8C"/>
    <w:rsid w:val="0024708F"/>
    <w:rsid w:val="00247570"/>
    <w:rsid w:val="0024758A"/>
    <w:rsid w:val="00247C04"/>
    <w:rsid w:val="00250D74"/>
    <w:rsid w:val="00251C41"/>
    <w:rsid w:val="00252A8B"/>
    <w:rsid w:val="00252AF0"/>
    <w:rsid w:val="00253404"/>
    <w:rsid w:val="00253803"/>
    <w:rsid w:val="00255233"/>
    <w:rsid w:val="0025713D"/>
    <w:rsid w:val="002607ED"/>
    <w:rsid w:val="0026161D"/>
    <w:rsid w:val="00262696"/>
    <w:rsid w:val="002628E5"/>
    <w:rsid w:val="00262B18"/>
    <w:rsid w:val="00262FEE"/>
    <w:rsid w:val="0026452F"/>
    <w:rsid w:val="00264D72"/>
    <w:rsid w:val="0026562F"/>
    <w:rsid w:val="002665C2"/>
    <w:rsid w:val="00266D20"/>
    <w:rsid w:val="00267E5B"/>
    <w:rsid w:val="002701FC"/>
    <w:rsid w:val="00271009"/>
    <w:rsid w:val="002729AD"/>
    <w:rsid w:val="0027342E"/>
    <w:rsid w:val="00273CC3"/>
    <w:rsid w:val="00274687"/>
    <w:rsid w:val="00276964"/>
    <w:rsid w:val="0027752C"/>
    <w:rsid w:val="002805D5"/>
    <w:rsid w:val="00280C82"/>
    <w:rsid w:val="00281CE7"/>
    <w:rsid w:val="00282A40"/>
    <w:rsid w:val="00282EC3"/>
    <w:rsid w:val="002831A8"/>
    <w:rsid w:val="0028481B"/>
    <w:rsid w:val="00284EA1"/>
    <w:rsid w:val="00284F00"/>
    <w:rsid w:val="00285AE4"/>
    <w:rsid w:val="002863DE"/>
    <w:rsid w:val="00287720"/>
    <w:rsid w:val="002902BC"/>
    <w:rsid w:val="00290397"/>
    <w:rsid w:val="0029039D"/>
    <w:rsid w:val="002917C7"/>
    <w:rsid w:val="00292816"/>
    <w:rsid w:val="00292AAE"/>
    <w:rsid w:val="002935D7"/>
    <w:rsid w:val="0029387A"/>
    <w:rsid w:val="00293BBB"/>
    <w:rsid w:val="00295620"/>
    <w:rsid w:val="00295B68"/>
    <w:rsid w:val="00295DCC"/>
    <w:rsid w:val="00296630"/>
    <w:rsid w:val="002976C1"/>
    <w:rsid w:val="002A00C0"/>
    <w:rsid w:val="002A0918"/>
    <w:rsid w:val="002A0B8B"/>
    <w:rsid w:val="002A3746"/>
    <w:rsid w:val="002A3C52"/>
    <w:rsid w:val="002A4430"/>
    <w:rsid w:val="002A770B"/>
    <w:rsid w:val="002B0C99"/>
    <w:rsid w:val="002B0FD2"/>
    <w:rsid w:val="002B1049"/>
    <w:rsid w:val="002B2326"/>
    <w:rsid w:val="002B2714"/>
    <w:rsid w:val="002B29A9"/>
    <w:rsid w:val="002B34B9"/>
    <w:rsid w:val="002B37DD"/>
    <w:rsid w:val="002B57F3"/>
    <w:rsid w:val="002B6326"/>
    <w:rsid w:val="002B7D84"/>
    <w:rsid w:val="002C0017"/>
    <w:rsid w:val="002C1668"/>
    <w:rsid w:val="002C1D00"/>
    <w:rsid w:val="002C2F8B"/>
    <w:rsid w:val="002C3607"/>
    <w:rsid w:val="002C38BA"/>
    <w:rsid w:val="002C4157"/>
    <w:rsid w:val="002C5109"/>
    <w:rsid w:val="002C5533"/>
    <w:rsid w:val="002C5A33"/>
    <w:rsid w:val="002D1529"/>
    <w:rsid w:val="002D1A62"/>
    <w:rsid w:val="002D2A3D"/>
    <w:rsid w:val="002D398D"/>
    <w:rsid w:val="002D3C8D"/>
    <w:rsid w:val="002D5233"/>
    <w:rsid w:val="002D77A6"/>
    <w:rsid w:val="002E0312"/>
    <w:rsid w:val="002E0FB9"/>
    <w:rsid w:val="002E1B5E"/>
    <w:rsid w:val="002E1DBA"/>
    <w:rsid w:val="002E3AB6"/>
    <w:rsid w:val="002E3D59"/>
    <w:rsid w:val="002E556D"/>
    <w:rsid w:val="002E5B56"/>
    <w:rsid w:val="002E63F2"/>
    <w:rsid w:val="002E6E6C"/>
    <w:rsid w:val="002E783F"/>
    <w:rsid w:val="002F168E"/>
    <w:rsid w:val="002F526B"/>
    <w:rsid w:val="002F5BF1"/>
    <w:rsid w:val="002F6A20"/>
    <w:rsid w:val="003015E5"/>
    <w:rsid w:val="00303970"/>
    <w:rsid w:val="003049CC"/>
    <w:rsid w:val="00310458"/>
    <w:rsid w:val="003110E8"/>
    <w:rsid w:val="00311DD9"/>
    <w:rsid w:val="0031467F"/>
    <w:rsid w:val="00314DD0"/>
    <w:rsid w:val="00315EBA"/>
    <w:rsid w:val="00316FFB"/>
    <w:rsid w:val="00317C93"/>
    <w:rsid w:val="003200C0"/>
    <w:rsid w:val="0032072B"/>
    <w:rsid w:val="003214ED"/>
    <w:rsid w:val="0032250F"/>
    <w:rsid w:val="00324F80"/>
    <w:rsid w:val="003267E4"/>
    <w:rsid w:val="0032793F"/>
    <w:rsid w:val="003279FC"/>
    <w:rsid w:val="00330303"/>
    <w:rsid w:val="00330666"/>
    <w:rsid w:val="00330F17"/>
    <w:rsid w:val="00330FE9"/>
    <w:rsid w:val="00331BF5"/>
    <w:rsid w:val="00332678"/>
    <w:rsid w:val="00335EC0"/>
    <w:rsid w:val="003361D9"/>
    <w:rsid w:val="00340966"/>
    <w:rsid w:val="00340AAA"/>
    <w:rsid w:val="00340ACA"/>
    <w:rsid w:val="0034182C"/>
    <w:rsid w:val="00341CF3"/>
    <w:rsid w:val="00342E93"/>
    <w:rsid w:val="003434A8"/>
    <w:rsid w:val="00344036"/>
    <w:rsid w:val="00346903"/>
    <w:rsid w:val="00347398"/>
    <w:rsid w:val="00347975"/>
    <w:rsid w:val="003510D0"/>
    <w:rsid w:val="003511E6"/>
    <w:rsid w:val="00351D02"/>
    <w:rsid w:val="003556FD"/>
    <w:rsid w:val="00356064"/>
    <w:rsid w:val="00356154"/>
    <w:rsid w:val="00357AE6"/>
    <w:rsid w:val="00362643"/>
    <w:rsid w:val="00362FF7"/>
    <w:rsid w:val="0036345B"/>
    <w:rsid w:val="003647A7"/>
    <w:rsid w:val="00365053"/>
    <w:rsid w:val="00365204"/>
    <w:rsid w:val="00365309"/>
    <w:rsid w:val="00365566"/>
    <w:rsid w:val="00365C15"/>
    <w:rsid w:val="003668DA"/>
    <w:rsid w:val="00366CC3"/>
    <w:rsid w:val="00370E27"/>
    <w:rsid w:val="0037294D"/>
    <w:rsid w:val="00372976"/>
    <w:rsid w:val="00372F57"/>
    <w:rsid w:val="00373EFD"/>
    <w:rsid w:val="00374CCB"/>
    <w:rsid w:val="0037566E"/>
    <w:rsid w:val="0037587B"/>
    <w:rsid w:val="0037745F"/>
    <w:rsid w:val="0038020B"/>
    <w:rsid w:val="0038106D"/>
    <w:rsid w:val="003823C1"/>
    <w:rsid w:val="003824F0"/>
    <w:rsid w:val="00382DC7"/>
    <w:rsid w:val="003831C8"/>
    <w:rsid w:val="003839DB"/>
    <w:rsid w:val="00385DCD"/>
    <w:rsid w:val="00386094"/>
    <w:rsid w:val="00387EED"/>
    <w:rsid w:val="003912FA"/>
    <w:rsid w:val="00392E4D"/>
    <w:rsid w:val="00393D47"/>
    <w:rsid w:val="003945FF"/>
    <w:rsid w:val="00395FF6"/>
    <w:rsid w:val="00396F45"/>
    <w:rsid w:val="0039766A"/>
    <w:rsid w:val="00397B6B"/>
    <w:rsid w:val="003A10EC"/>
    <w:rsid w:val="003A19B9"/>
    <w:rsid w:val="003A374A"/>
    <w:rsid w:val="003A4971"/>
    <w:rsid w:val="003A4C76"/>
    <w:rsid w:val="003A4D74"/>
    <w:rsid w:val="003A4E26"/>
    <w:rsid w:val="003A51CB"/>
    <w:rsid w:val="003A6C4C"/>
    <w:rsid w:val="003A7BEE"/>
    <w:rsid w:val="003A7DF0"/>
    <w:rsid w:val="003B2477"/>
    <w:rsid w:val="003B4226"/>
    <w:rsid w:val="003B4B9B"/>
    <w:rsid w:val="003C00F6"/>
    <w:rsid w:val="003C07EE"/>
    <w:rsid w:val="003C09E4"/>
    <w:rsid w:val="003C0A5F"/>
    <w:rsid w:val="003C4792"/>
    <w:rsid w:val="003C5E58"/>
    <w:rsid w:val="003C6D80"/>
    <w:rsid w:val="003C784C"/>
    <w:rsid w:val="003C7D4A"/>
    <w:rsid w:val="003D059B"/>
    <w:rsid w:val="003D2FF5"/>
    <w:rsid w:val="003D3B70"/>
    <w:rsid w:val="003D4E7A"/>
    <w:rsid w:val="003D6565"/>
    <w:rsid w:val="003E0B18"/>
    <w:rsid w:val="003E122B"/>
    <w:rsid w:val="003E1E21"/>
    <w:rsid w:val="003E45EA"/>
    <w:rsid w:val="003E4D62"/>
    <w:rsid w:val="003E7063"/>
    <w:rsid w:val="003E73B1"/>
    <w:rsid w:val="003E7A30"/>
    <w:rsid w:val="003F01C7"/>
    <w:rsid w:val="003F04F7"/>
    <w:rsid w:val="003F0A19"/>
    <w:rsid w:val="003F13A6"/>
    <w:rsid w:val="003F1788"/>
    <w:rsid w:val="003F2038"/>
    <w:rsid w:val="003F29D9"/>
    <w:rsid w:val="003F2CC3"/>
    <w:rsid w:val="003F2E9A"/>
    <w:rsid w:val="003F3E18"/>
    <w:rsid w:val="003F40FC"/>
    <w:rsid w:val="003F5497"/>
    <w:rsid w:val="003F5D9E"/>
    <w:rsid w:val="003F6B17"/>
    <w:rsid w:val="003F6C80"/>
    <w:rsid w:val="003F7818"/>
    <w:rsid w:val="00400582"/>
    <w:rsid w:val="00400A28"/>
    <w:rsid w:val="004010BE"/>
    <w:rsid w:val="00402CD9"/>
    <w:rsid w:val="004032F5"/>
    <w:rsid w:val="0040334A"/>
    <w:rsid w:val="00403D7B"/>
    <w:rsid w:val="00406995"/>
    <w:rsid w:val="00406AD4"/>
    <w:rsid w:val="00406DBD"/>
    <w:rsid w:val="004120B2"/>
    <w:rsid w:val="00412552"/>
    <w:rsid w:val="00412BA4"/>
    <w:rsid w:val="0041405B"/>
    <w:rsid w:val="004148E6"/>
    <w:rsid w:val="00415C3B"/>
    <w:rsid w:val="0041685A"/>
    <w:rsid w:val="00416AAB"/>
    <w:rsid w:val="00416F4A"/>
    <w:rsid w:val="0041760E"/>
    <w:rsid w:val="00417CF8"/>
    <w:rsid w:val="00417D10"/>
    <w:rsid w:val="00420124"/>
    <w:rsid w:val="004201DF"/>
    <w:rsid w:val="0042093C"/>
    <w:rsid w:val="0042147E"/>
    <w:rsid w:val="004220A8"/>
    <w:rsid w:val="00422B67"/>
    <w:rsid w:val="00422ECC"/>
    <w:rsid w:val="004240D5"/>
    <w:rsid w:val="00425234"/>
    <w:rsid w:val="00426860"/>
    <w:rsid w:val="004309F1"/>
    <w:rsid w:val="004318D3"/>
    <w:rsid w:val="00432AD3"/>
    <w:rsid w:val="004345DC"/>
    <w:rsid w:val="00434DE3"/>
    <w:rsid w:val="00435C94"/>
    <w:rsid w:val="004367E7"/>
    <w:rsid w:val="004372BE"/>
    <w:rsid w:val="0043799B"/>
    <w:rsid w:val="00440E66"/>
    <w:rsid w:val="00440E82"/>
    <w:rsid w:val="00441834"/>
    <w:rsid w:val="004419DB"/>
    <w:rsid w:val="004424FD"/>
    <w:rsid w:val="00442C69"/>
    <w:rsid w:val="00442F93"/>
    <w:rsid w:val="0044351F"/>
    <w:rsid w:val="0044624E"/>
    <w:rsid w:val="004477D0"/>
    <w:rsid w:val="00450413"/>
    <w:rsid w:val="004516BA"/>
    <w:rsid w:val="00452705"/>
    <w:rsid w:val="00453348"/>
    <w:rsid w:val="004544BF"/>
    <w:rsid w:val="00454F47"/>
    <w:rsid w:val="0045748C"/>
    <w:rsid w:val="004576BF"/>
    <w:rsid w:val="00457A85"/>
    <w:rsid w:val="00460016"/>
    <w:rsid w:val="00460A0E"/>
    <w:rsid w:val="0046194D"/>
    <w:rsid w:val="00464C18"/>
    <w:rsid w:val="00465B3A"/>
    <w:rsid w:val="00466E80"/>
    <w:rsid w:val="00467DF5"/>
    <w:rsid w:val="00470114"/>
    <w:rsid w:val="00470257"/>
    <w:rsid w:val="004728F9"/>
    <w:rsid w:val="00473047"/>
    <w:rsid w:val="0047307E"/>
    <w:rsid w:val="0047378F"/>
    <w:rsid w:val="004742EF"/>
    <w:rsid w:val="0047439A"/>
    <w:rsid w:val="00474777"/>
    <w:rsid w:val="00475ADB"/>
    <w:rsid w:val="0047677E"/>
    <w:rsid w:val="004775EA"/>
    <w:rsid w:val="00477C49"/>
    <w:rsid w:val="00477E09"/>
    <w:rsid w:val="00477E4A"/>
    <w:rsid w:val="00480150"/>
    <w:rsid w:val="00480683"/>
    <w:rsid w:val="00480CB8"/>
    <w:rsid w:val="00481D93"/>
    <w:rsid w:val="0048305A"/>
    <w:rsid w:val="004835A9"/>
    <w:rsid w:val="00483716"/>
    <w:rsid w:val="00483BDF"/>
    <w:rsid w:val="004853BB"/>
    <w:rsid w:val="00485B43"/>
    <w:rsid w:val="00485D32"/>
    <w:rsid w:val="0048763A"/>
    <w:rsid w:val="004903F4"/>
    <w:rsid w:val="00490437"/>
    <w:rsid w:val="004917E8"/>
    <w:rsid w:val="00491BD5"/>
    <w:rsid w:val="004930F5"/>
    <w:rsid w:val="00494270"/>
    <w:rsid w:val="00494AD8"/>
    <w:rsid w:val="0049560F"/>
    <w:rsid w:val="0049693A"/>
    <w:rsid w:val="0049696C"/>
    <w:rsid w:val="00497B56"/>
    <w:rsid w:val="00497FCA"/>
    <w:rsid w:val="004A0419"/>
    <w:rsid w:val="004A26E8"/>
    <w:rsid w:val="004A35AF"/>
    <w:rsid w:val="004A3A25"/>
    <w:rsid w:val="004A4F8B"/>
    <w:rsid w:val="004A53E7"/>
    <w:rsid w:val="004A77CD"/>
    <w:rsid w:val="004B01DB"/>
    <w:rsid w:val="004B036C"/>
    <w:rsid w:val="004B136E"/>
    <w:rsid w:val="004B2B2F"/>
    <w:rsid w:val="004B3AD0"/>
    <w:rsid w:val="004B7281"/>
    <w:rsid w:val="004B73EA"/>
    <w:rsid w:val="004B7C73"/>
    <w:rsid w:val="004C00B5"/>
    <w:rsid w:val="004C2F97"/>
    <w:rsid w:val="004C421C"/>
    <w:rsid w:val="004C423F"/>
    <w:rsid w:val="004C4C0B"/>
    <w:rsid w:val="004C54E8"/>
    <w:rsid w:val="004C72F0"/>
    <w:rsid w:val="004C7505"/>
    <w:rsid w:val="004C7697"/>
    <w:rsid w:val="004C7CAF"/>
    <w:rsid w:val="004D20A6"/>
    <w:rsid w:val="004D2127"/>
    <w:rsid w:val="004D2C16"/>
    <w:rsid w:val="004D4423"/>
    <w:rsid w:val="004D7CB8"/>
    <w:rsid w:val="004D7D50"/>
    <w:rsid w:val="004E00A6"/>
    <w:rsid w:val="004E10A5"/>
    <w:rsid w:val="004E17C0"/>
    <w:rsid w:val="004E27F6"/>
    <w:rsid w:val="004E404B"/>
    <w:rsid w:val="004E40A8"/>
    <w:rsid w:val="004E4463"/>
    <w:rsid w:val="004E683D"/>
    <w:rsid w:val="004E7590"/>
    <w:rsid w:val="004E7B40"/>
    <w:rsid w:val="004E7EC6"/>
    <w:rsid w:val="004E7EEA"/>
    <w:rsid w:val="004F0168"/>
    <w:rsid w:val="004F1276"/>
    <w:rsid w:val="004F12FD"/>
    <w:rsid w:val="004F39A7"/>
    <w:rsid w:val="004F58BB"/>
    <w:rsid w:val="004F593F"/>
    <w:rsid w:val="004F6791"/>
    <w:rsid w:val="004F713D"/>
    <w:rsid w:val="004F7B79"/>
    <w:rsid w:val="00501A01"/>
    <w:rsid w:val="00502ED8"/>
    <w:rsid w:val="00504A88"/>
    <w:rsid w:val="00504FE4"/>
    <w:rsid w:val="00505DFF"/>
    <w:rsid w:val="00505FAE"/>
    <w:rsid w:val="00510245"/>
    <w:rsid w:val="00513BF5"/>
    <w:rsid w:val="005140B7"/>
    <w:rsid w:val="00514522"/>
    <w:rsid w:val="00515337"/>
    <w:rsid w:val="0051549E"/>
    <w:rsid w:val="0051551B"/>
    <w:rsid w:val="00516434"/>
    <w:rsid w:val="00516C71"/>
    <w:rsid w:val="005174D8"/>
    <w:rsid w:val="00517AF6"/>
    <w:rsid w:val="00520EC7"/>
    <w:rsid w:val="005212BE"/>
    <w:rsid w:val="00521808"/>
    <w:rsid w:val="005229E0"/>
    <w:rsid w:val="00522B68"/>
    <w:rsid w:val="005244FB"/>
    <w:rsid w:val="005254C4"/>
    <w:rsid w:val="00525E34"/>
    <w:rsid w:val="00525E78"/>
    <w:rsid w:val="00526CA2"/>
    <w:rsid w:val="00526D0D"/>
    <w:rsid w:val="00531293"/>
    <w:rsid w:val="00531A6C"/>
    <w:rsid w:val="00531C76"/>
    <w:rsid w:val="00531F78"/>
    <w:rsid w:val="00532314"/>
    <w:rsid w:val="005324A8"/>
    <w:rsid w:val="005329A6"/>
    <w:rsid w:val="005329BE"/>
    <w:rsid w:val="005330F1"/>
    <w:rsid w:val="0053476D"/>
    <w:rsid w:val="005354C3"/>
    <w:rsid w:val="0053687C"/>
    <w:rsid w:val="00537460"/>
    <w:rsid w:val="00537A87"/>
    <w:rsid w:val="00540EAF"/>
    <w:rsid w:val="0054125E"/>
    <w:rsid w:val="00541AD5"/>
    <w:rsid w:val="00542BC3"/>
    <w:rsid w:val="005432A9"/>
    <w:rsid w:val="0054519D"/>
    <w:rsid w:val="00545EEE"/>
    <w:rsid w:val="005466A4"/>
    <w:rsid w:val="005478F0"/>
    <w:rsid w:val="00550E34"/>
    <w:rsid w:val="00552B84"/>
    <w:rsid w:val="00553CF5"/>
    <w:rsid w:val="00555431"/>
    <w:rsid w:val="0055648F"/>
    <w:rsid w:val="00556ED6"/>
    <w:rsid w:val="00557D48"/>
    <w:rsid w:val="0056102A"/>
    <w:rsid w:val="0056124B"/>
    <w:rsid w:val="005616B8"/>
    <w:rsid w:val="0056197E"/>
    <w:rsid w:val="00562725"/>
    <w:rsid w:val="00562901"/>
    <w:rsid w:val="00562CF2"/>
    <w:rsid w:val="00563A09"/>
    <w:rsid w:val="00564197"/>
    <w:rsid w:val="00566005"/>
    <w:rsid w:val="00566172"/>
    <w:rsid w:val="00566F86"/>
    <w:rsid w:val="00567B3B"/>
    <w:rsid w:val="005709C1"/>
    <w:rsid w:val="00570E3A"/>
    <w:rsid w:val="00570F33"/>
    <w:rsid w:val="00572040"/>
    <w:rsid w:val="005724BF"/>
    <w:rsid w:val="00572CE7"/>
    <w:rsid w:val="005732FF"/>
    <w:rsid w:val="005737CC"/>
    <w:rsid w:val="00573E3C"/>
    <w:rsid w:val="005744B7"/>
    <w:rsid w:val="0057456D"/>
    <w:rsid w:val="00574866"/>
    <w:rsid w:val="005766CA"/>
    <w:rsid w:val="005811F9"/>
    <w:rsid w:val="00581F66"/>
    <w:rsid w:val="00582056"/>
    <w:rsid w:val="005829CE"/>
    <w:rsid w:val="00582E45"/>
    <w:rsid w:val="00583CD8"/>
    <w:rsid w:val="00584E45"/>
    <w:rsid w:val="00585ACF"/>
    <w:rsid w:val="00585D52"/>
    <w:rsid w:val="00585F36"/>
    <w:rsid w:val="00586DAB"/>
    <w:rsid w:val="005873FF"/>
    <w:rsid w:val="0059037E"/>
    <w:rsid w:val="00590F68"/>
    <w:rsid w:val="005914CA"/>
    <w:rsid w:val="0059186D"/>
    <w:rsid w:val="00591C6A"/>
    <w:rsid w:val="00591F83"/>
    <w:rsid w:val="00592945"/>
    <w:rsid w:val="005932DA"/>
    <w:rsid w:val="005937AA"/>
    <w:rsid w:val="005937EF"/>
    <w:rsid w:val="005948CB"/>
    <w:rsid w:val="00594B81"/>
    <w:rsid w:val="00595ED1"/>
    <w:rsid w:val="00596946"/>
    <w:rsid w:val="00597584"/>
    <w:rsid w:val="005A239B"/>
    <w:rsid w:val="005A3473"/>
    <w:rsid w:val="005A3862"/>
    <w:rsid w:val="005A3CF9"/>
    <w:rsid w:val="005A6C5D"/>
    <w:rsid w:val="005A6DCE"/>
    <w:rsid w:val="005A7263"/>
    <w:rsid w:val="005A72B1"/>
    <w:rsid w:val="005A7BE7"/>
    <w:rsid w:val="005B03FB"/>
    <w:rsid w:val="005B107C"/>
    <w:rsid w:val="005B23DA"/>
    <w:rsid w:val="005B2C00"/>
    <w:rsid w:val="005B2DD0"/>
    <w:rsid w:val="005B3ACE"/>
    <w:rsid w:val="005B5553"/>
    <w:rsid w:val="005B5B17"/>
    <w:rsid w:val="005B6556"/>
    <w:rsid w:val="005B776E"/>
    <w:rsid w:val="005C1960"/>
    <w:rsid w:val="005C1A53"/>
    <w:rsid w:val="005C1CB8"/>
    <w:rsid w:val="005C2232"/>
    <w:rsid w:val="005C272B"/>
    <w:rsid w:val="005C2960"/>
    <w:rsid w:val="005C3AA3"/>
    <w:rsid w:val="005C403B"/>
    <w:rsid w:val="005C5E90"/>
    <w:rsid w:val="005C7E4C"/>
    <w:rsid w:val="005C7F49"/>
    <w:rsid w:val="005D010C"/>
    <w:rsid w:val="005D224C"/>
    <w:rsid w:val="005D3CCA"/>
    <w:rsid w:val="005D534F"/>
    <w:rsid w:val="005D6340"/>
    <w:rsid w:val="005D7028"/>
    <w:rsid w:val="005E081B"/>
    <w:rsid w:val="005E235F"/>
    <w:rsid w:val="005E2A19"/>
    <w:rsid w:val="005E3251"/>
    <w:rsid w:val="005E41F5"/>
    <w:rsid w:val="005E45B0"/>
    <w:rsid w:val="005E4A50"/>
    <w:rsid w:val="005E4DBB"/>
    <w:rsid w:val="005E51EE"/>
    <w:rsid w:val="005E5CB6"/>
    <w:rsid w:val="005E6828"/>
    <w:rsid w:val="005E6D8B"/>
    <w:rsid w:val="005F04C7"/>
    <w:rsid w:val="005F118C"/>
    <w:rsid w:val="005F12A9"/>
    <w:rsid w:val="005F23E6"/>
    <w:rsid w:val="005F28C7"/>
    <w:rsid w:val="005F3825"/>
    <w:rsid w:val="005F4C6C"/>
    <w:rsid w:val="005F6694"/>
    <w:rsid w:val="005F6A74"/>
    <w:rsid w:val="005F71DB"/>
    <w:rsid w:val="005F73A9"/>
    <w:rsid w:val="00600A23"/>
    <w:rsid w:val="00600D74"/>
    <w:rsid w:val="006018DD"/>
    <w:rsid w:val="00602186"/>
    <w:rsid w:val="006036B9"/>
    <w:rsid w:val="00603900"/>
    <w:rsid w:val="0060525C"/>
    <w:rsid w:val="00605FAE"/>
    <w:rsid w:val="00610F66"/>
    <w:rsid w:val="006119B3"/>
    <w:rsid w:val="00612109"/>
    <w:rsid w:val="00612135"/>
    <w:rsid w:val="0061319E"/>
    <w:rsid w:val="00613A12"/>
    <w:rsid w:val="00613DE9"/>
    <w:rsid w:val="00615584"/>
    <w:rsid w:val="006162EF"/>
    <w:rsid w:val="00616BAF"/>
    <w:rsid w:val="00617C3F"/>
    <w:rsid w:val="00620FBD"/>
    <w:rsid w:val="00621384"/>
    <w:rsid w:val="00621C1E"/>
    <w:rsid w:val="00621DDC"/>
    <w:rsid w:val="00621EAE"/>
    <w:rsid w:val="00622AA3"/>
    <w:rsid w:val="00622D8C"/>
    <w:rsid w:val="006236C6"/>
    <w:rsid w:val="0062436F"/>
    <w:rsid w:val="00624928"/>
    <w:rsid w:val="00624A3F"/>
    <w:rsid w:val="00624D43"/>
    <w:rsid w:val="00626099"/>
    <w:rsid w:val="00626B35"/>
    <w:rsid w:val="00626B3C"/>
    <w:rsid w:val="00627ECD"/>
    <w:rsid w:val="00630B80"/>
    <w:rsid w:val="00632C12"/>
    <w:rsid w:val="0063306B"/>
    <w:rsid w:val="006336B0"/>
    <w:rsid w:val="0063394D"/>
    <w:rsid w:val="00635D98"/>
    <w:rsid w:val="00636429"/>
    <w:rsid w:val="00636CDC"/>
    <w:rsid w:val="00640329"/>
    <w:rsid w:val="00640DCF"/>
    <w:rsid w:val="00640E85"/>
    <w:rsid w:val="00641DEC"/>
    <w:rsid w:val="0064716B"/>
    <w:rsid w:val="0065078B"/>
    <w:rsid w:val="00651CA3"/>
    <w:rsid w:val="00652114"/>
    <w:rsid w:val="00652C61"/>
    <w:rsid w:val="00652DEA"/>
    <w:rsid w:val="006534B2"/>
    <w:rsid w:val="006537E5"/>
    <w:rsid w:val="0065390F"/>
    <w:rsid w:val="00657032"/>
    <w:rsid w:val="0065769E"/>
    <w:rsid w:val="00657EE5"/>
    <w:rsid w:val="006602B4"/>
    <w:rsid w:val="00660B52"/>
    <w:rsid w:val="006613E1"/>
    <w:rsid w:val="006619F7"/>
    <w:rsid w:val="00661FA3"/>
    <w:rsid w:val="006622E2"/>
    <w:rsid w:val="0066249D"/>
    <w:rsid w:val="00663325"/>
    <w:rsid w:val="0066355E"/>
    <w:rsid w:val="006643E4"/>
    <w:rsid w:val="00664E03"/>
    <w:rsid w:val="00671AC3"/>
    <w:rsid w:val="00671B17"/>
    <w:rsid w:val="006731BB"/>
    <w:rsid w:val="0067344A"/>
    <w:rsid w:val="00673994"/>
    <w:rsid w:val="00674360"/>
    <w:rsid w:val="00674428"/>
    <w:rsid w:val="00675FE5"/>
    <w:rsid w:val="00677EB7"/>
    <w:rsid w:val="00680F19"/>
    <w:rsid w:val="00680F84"/>
    <w:rsid w:val="00682797"/>
    <w:rsid w:val="00682A83"/>
    <w:rsid w:val="00683F40"/>
    <w:rsid w:val="0068552C"/>
    <w:rsid w:val="00686937"/>
    <w:rsid w:val="00687AED"/>
    <w:rsid w:val="006903E3"/>
    <w:rsid w:val="006915AB"/>
    <w:rsid w:val="00691708"/>
    <w:rsid w:val="00692ADD"/>
    <w:rsid w:val="00693B4A"/>
    <w:rsid w:val="006964E7"/>
    <w:rsid w:val="00696DFB"/>
    <w:rsid w:val="00697B79"/>
    <w:rsid w:val="00697CC9"/>
    <w:rsid w:val="00697EFA"/>
    <w:rsid w:val="006A06A9"/>
    <w:rsid w:val="006A08F8"/>
    <w:rsid w:val="006A1CB3"/>
    <w:rsid w:val="006A223E"/>
    <w:rsid w:val="006A6728"/>
    <w:rsid w:val="006A67DD"/>
    <w:rsid w:val="006A7AC6"/>
    <w:rsid w:val="006A7D45"/>
    <w:rsid w:val="006B1BEA"/>
    <w:rsid w:val="006B2AD2"/>
    <w:rsid w:val="006B30C6"/>
    <w:rsid w:val="006B4390"/>
    <w:rsid w:val="006B5334"/>
    <w:rsid w:val="006C0608"/>
    <w:rsid w:val="006C2252"/>
    <w:rsid w:val="006C46ED"/>
    <w:rsid w:val="006C4DE7"/>
    <w:rsid w:val="006C4F79"/>
    <w:rsid w:val="006C69D0"/>
    <w:rsid w:val="006D1CBD"/>
    <w:rsid w:val="006D21E3"/>
    <w:rsid w:val="006D2861"/>
    <w:rsid w:val="006D2E9F"/>
    <w:rsid w:val="006D3BFE"/>
    <w:rsid w:val="006D519C"/>
    <w:rsid w:val="006D5C67"/>
    <w:rsid w:val="006D6364"/>
    <w:rsid w:val="006D65DA"/>
    <w:rsid w:val="006D7C21"/>
    <w:rsid w:val="006D7FB7"/>
    <w:rsid w:val="006E0127"/>
    <w:rsid w:val="006E04B7"/>
    <w:rsid w:val="006E0717"/>
    <w:rsid w:val="006E0CE4"/>
    <w:rsid w:val="006E2958"/>
    <w:rsid w:val="006E3683"/>
    <w:rsid w:val="006E3FF8"/>
    <w:rsid w:val="006E4048"/>
    <w:rsid w:val="006E4B0D"/>
    <w:rsid w:val="006E53D6"/>
    <w:rsid w:val="006E58A9"/>
    <w:rsid w:val="006E5E94"/>
    <w:rsid w:val="006E65CC"/>
    <w:rsid w:val="006E70E0"/>
    <w:rsid w:val="006F1F91"/>
    <w:rsid w:val="006F5800"/>
    <w:rsid w:val="006F69BB"/>
    <w:rsid w:val="0070149C"/>
    <w:rsid w:val="00702021"/>
    <w:rsid w:val="00702165"/>
    <w:rsid w:val="00704A90"/>
    <w:rsid w:val="007050AC"/>
    <w:rsid w:val="00705468"/>
    <w:rsid w:val="007054DE"/>
    <w:rsid w:val="00705597"/>
    <w:rsid w:val="007057C9"/>
    <w:rsid w:val="00706408"/>
    <w:rsid w:val="007064F6"/>
    <w:rsid w:val="00706713"/>
    <w:rsid w:val="00706AEB"/>
    <w:rsid w:val="007101F0"/>
    <w:rsid w:val="007115A3"/>
    <w:rsid w:val="00713162"/>
    <w:rsid w:val="00713B8C"/>
    <w:rsid w:val="0071424A"/>
    <w:rsid w:val="0071787A"/>
    <w:rsid w:val="00720ADE"/>
    <w:rsid w:val="00721EB3"/>
    <w:rsid w:val="0072244C"/>
    <w:rsid w:val="0072559C"/>
    <w:rsid w:val="0072577E"/>
    <w:rsid w:val="00725CA1"/>
    <w:rsid w:val="00726287"/>
    <w:rsid w:val="00726504"/>
    <w:rsid w:val="00726693"/>
    <w:rsid w:val="00731BB4"/>
    <w:rsid w:val="00732294"/>
    <w:rsid w:val="00732FA5"/>
    <w:rsid w:val="0073369E"/>
    <w:rsid w:val="007337A2"/>
    <w:rsid w:val="00733AED"/>
    <w:rsid w:val="00733D2C"/>
    <w:rsid w:val="007343DD"/>
    <w:rsid w:val="00734D09"/>
    <w:rsid w:val="00735391"/>
    <w:rsid w:val="007357A2"/>
    <w:rsid w:val="007375BD"/>
    <w:rsid w:val="0074040E"/>
    <w:rsid w:val="007407DC"/>
    <w:rsid w:val="00740BC3"/>
    <w:rsid w:val="00740C52"/>
    <w:rsid w:val="007417C6"/>
    <w:rsid w:val="00742107"/>
    <w:rsid w:val="007433BE"/>
    <w:rsid w:val="007434EB"/>
    <w:rsid w:val="00743785"/>
    <w:rsid w:val="00744409"/>
    <w:rsid w:val="00747677"/>
    <w:rsid w:val="00747944"/>
    <w:rsid w:val="007508BB"/>
    <w:rsid w:val="0075202B"/>
    <w:rsid w:val="00752716"/>
    <w:rsid w:val="007529D1"/>
    <w:rsid w:val="00753150"/>
    <w:rsid w:val="007536B9"/>
    <w:rsid w:val="007542F4"/>
    <w:rsid w:val="007561DE"/>
    <w:rsid w:val="00757030"/>
    <w:rsid w:val="0075729A"/>
    <w:rsid w:val="007576E5"/>
    <w:rsid w:val="00757B7E"/>
    <w:rsid w:val="007601A4"/>
    <w:rsid w:val="00762840"/>
    <w:rsid w:val="00763D5E"/>
    <w:rsid w:val="00765EE9"/>
    <w:rsid w:val="00766061"/>
    <w:rsid w:val="0076608F"/>
    <w:rsid w:val="007660DC"/>
    <w:rsid w:val="0076644D"/>
    <w:rsid w:val="00766E10"/>
    <w:rsid w:val="00767DCD"/>
    <w:rsid w:val="00771E95"/>
    <w:rsid w:val="00774D76"/>
    <w:rsid w:val="00775961"/>
    <w:rsid w:val="00775CAB"/>
    <w:rsid w:val="0077658D"/>
    <w:rsid w:val="0077685A"/>
    <w:rsid w:val="00776F6A"/>
    <w:rsid w:val="00777125"/>
    <w:rsid w:val="0077754B"/>
    <w:rsid w:val="0077796E"/>
    <w:rsid w:val="00777CD9"/>
    <w:rsid w:val="00777D51"/>
    <w:rsid w:val="00782566"/>
    <w:rsid w:val="00782D30"/>
    <w:rsid w:val="007832E1"/>
    <w:rsid w:val="00786199"/>
    <w:rsid w:val="0078671E"/>
    <w:rsid w:val="00786F18"/>
    <w:rsid w:val="00787548"/>
    <w:rsid w:val="007909B8"/>
    <w:rsid w:val="007946B6"/>
    <w:rsid w:val="007970DB"/>
    <w:rsid w:val="0079771F"/>
    <w:rsid w:val="00797E71"/>
    <w:rsid w:val="007A0063"/>
    <w:rsid w:val="007A1BA1"/>
    <w:rsid w:val="007A2439"/>
    <w:rsid w:val="007A2473"/>
    <w:rsid w:val="007A3242"/>
    <w:rsid w:val="007A4792"/>
    <w:rsid w:val="007A56B9"/>
    <w:rsid w:val="007A5812"/>
    <w:rsid w:val="007A776C"/>
    <w:rsid w:val="007B1A73"/>
    <w:rsid w:val="007B327C"/>
    <w:rsid w:val="007B426C"/>
    <w:rsid w:val="007B52ED"/>
    <w:rsid w:val="007B622F"/>
    <w:rsid w:val="007B686D"/>
    <w:rsid w:val="007B7CAC"/>
    <w:rsid w:val="007B7E86"/>
    <w:rsid w:val="007C04B2"/>
    <w:rsid w:val="007C0C08"/>
    <w:rsid w:val="007C0C0B"/>
    <w:rsid w:val="007C1935"/>
    <w:rsid w:val="007C19DD"/>
    <w:rsid w:val="007C23C3"/>
    <w:rsid w:val="007C44B9"/>
    <w:rsid w:val="007C4704"/>
    <w:rsid w:val="007C4B6F"/>
    <w:rsid w:val="007C656A"/>
    <w:rsid w:val="007D0723"/>
    <w:rsid w:val="007D07AD"/>
    <w:rsid w:val="007D27C4"/>
    <w:rsid w:val="007D2E34"/>
    <w:rsid w:val="007D37E5"/>
    <w:rsid w:val="007D3EEB"/>
    <w:rsid w:val="007D40B2"/>
    <w:rsid w:val="007D4231"/>
    <w:rsid w:val="007E0762"/>
    <w:rsid w:val="007E0B73"/>
    <w:rsid w:val="007E118D"/>
    <w:rsid w:val="007E33C3"/>
    <w:rsid w:val="007E3E8F"/>
    <w:rsid w:val="007E48C0"/>
    <w:rsid w:val="007E5326"/>
    <w:rsid w:val="007E65D1"/>
    <w:rsid w:val="007E6957"/>
    <w:rsid w:val="007E6D64"/>
    <w:rsid w:val="007F1B25"/>
    <w:rsid w:val="007F298D"/>
    <w:rsid w:val="007F3570"/>
    <w:rsid w:val="007F5311"/>
    <w:rsid w:val="007F55C8"/>
    <w:rsid w:val="007F6738"/>
    <w:rsid w:val="007F7D2C"/>
    <w:rsid w:val="007F7F2D"/>
    <w:rsid w:val="00801D19"/>
    <w:rsid w:val="0080204A"/>
    <w:rsid w:val="00803246"/>
    <w:rsid w:val="00804E22"/>
    <w:rsid w:val="00805EC7"/>
    <w:rsid w:val="00806087"/>
    <w:rsid w:val="00806B61"/>
    <w:rsid w:val="00807312"/>
    <w:rsid w:val="0081024E"/>
    <w:rsid w:val="008102E0"/>
    <w:rsid w:val="008105EA"/>
    <w:rsid w:val="00811AE0"/>
    <w:rsid w:val="00811DDD"/>
    <w:rsid w:val="00812508"/>
    <w:rsid w:val="008128EB"/>
    <w:rsid w:val="0081368D"/>
    <w:rsid w:val="008150AB"/>
    <w:rsid w:val="00816B99"/>
    <w:rsid w:val="00817527"/>
    <w:rsid w:val="00820EAA"/>
    <w:rsid w:val="008212E7"/>
    <w:rsid w:val="008222E2"/>
    <w:rsid w:val="00822493"/>
    <w:rsid w:val="008251EF"/>
    <w:rsid w:val="00826C7C"/>
    <w:rsid w:val="0082708E"/>
    <w:rsid w:val="00827962"/>
    <w:rsid w:val="008327FE"/>
    <w:rsid w:val="008331D5"/>
    <w:rsid w:val="008338CC"/>
    <w:rsid w:val="008338DA"/>
    <w:rsid w:val="008346FD"/>
    <w:rsid w:val="00834ADA"/>
    <w:rsid w:val="00834C11"/>
    <w:rsid w:val="00835372"/>
    <w:rsid w:val="00835439"/>
    <w:rsid w:val="00835F3C"/>
    <w:rsid w:val="008368B4"/>
    <w:rsid w:val="00837FBF"/>
    <w:rsid w:val="00840E43"/>
    <w:rsid w:val="00842B63"/>
    <w:rsid w:val="00842D2C"/>
    <w:rsid w:val="00843738"/>
    <w:rsid w:val="00843BEB"/>
    <w:rsid w:val="00843D39"/>
    <w:rsid w:val="008440B0"/>
    <w:rsid w:val="0084440C"/>
    <w:rsid w:val="00846BBA"/>
    <w:rsid w:val="008472A7"/>
    <w:rsid w:val="008472E9"/>
    <w:rsid w:val="00847551"/>
    <w:rsid w:val="00850121"/>
    <w:rsid w:val="0085091E"/>
    <w:rsid w:val="0085095E"/>
    <w:rsid w:val="00850B39"/>
    <w:rsid w:val="008515C3"/>
    <w:rsid w:val="008519E2"/>
    <w:rsid w:val="00851E9C"/>
    <w:rsid w:val="00851EB6"/>
    <w:rsid w:val="008542A8"/>
    <w:rsid w:val="00855F32"/>
    <w:rsid w:val="008562F1"/>
    <w:rsid w:val="00857125"/>
    <w:rsid w:val="008605C8"/>
    <w:rsid w:val="00861468"/>
    <w:rsid w:val="0086289D"/>
    <w:rsid w:val="00863AF1"/>
    <w:rsid w:val="00864A37"/>
    <w:rsid w:val="00864B1A"/>
    <w:rsid w:val="00865557"/>
    <w:rsid w:val="00866775"/>
    <w:rsid w:val="00867B0D"/>
    <w:rsid w:val="00867D61"/>
    <w:rsid w:val="008717BE"/>
    <w:rsid w:val="008719F1"/>
    <w:rsid w:val="008723FE"/>
    <w:rsid w:val="0087469E"/>
    <w:rsid w:val="00874E02"/>
    <w:rsid w:val="00875105"/>
    <w:rsid w:val="008756C6"/>
    <w:rsid w:val="00877902"/>
    <w:rsid w:val="00880FD8"/>
    <w:rsid w:val="0088160C"/>
    <w:rsid w:val="008816F6"/>
    <w:rsid w:val="0088325A"/>
    <w:rsid w:val="008839E6"/>
    <w:rsid w:val="008842CD"/>
    <w:rsid w:val="00884D8C"/>
    <w:rsid w:val="00884EFA"/>
    <w:rsid w:val="0088589E"/>
    <w:rsid w:val="008865DC"/>
    <w:rsid w:val="0088683E"/>
    <w:rsid w:val="00886F0E"/>
    <w:rsid w:val="008879B7"/>
    <w:rsid w:val="0089008C"/>
    <w:rsid w:val="008900CA"/>
    <w:rsid w:val="008907AF"/>
    <w:rsid w:val="00890D7B"/>
    <w:rsid w:val="00891004"/>
    <w:rsid w:val="008919C0"/>
    <w:rsid w:val="008920DB"/>
    <w:rsid w:val="008923D7"/>
    <w:rsid w:val="00892565"/>
    <w:rsid w:val="0089443C"/>
    <w:rsid w:val="0089492A"/>
    <w:rsid w:val="0089616B"/>
    <w:rsid w:val="00896649"/>
    <w:rsid w:val="008979CC"/>
    <w:rsid w:val="008A0482"/>
    <w:rsid w:val="008A1146"/>
    <w:rsid w:val="008A1D34"/>
    <w:rsid w:val="008A33AB"/>
    <w:rsid w:val="008A38CF"/>
    <w:rsid w:val="008A3A00"/>
    <w:rsid w:val="008A3B53"/>
    <w:rsid w:val="008A492F"/>
    <w:rsid w:val="008A495B"/>
    <w:rsid w:val="008A6D19"/>
    <w:rsid w:val="008B04EA"/>
    <w:rsid w:val="008B0BC3"/>
    <w:rsid w:val="008B2918"/>
    <w:rsid w:val="008B2B75"/>
    <w:rsid w:val="008B3819"/>
    <w:rsid w:val="008B45F1"/>
    <w:rsid w:val="008B4FA7"/>
    <w:rsid w:val="008B5529"/>
    <w:rsid w:val="008B5F6B"/>
    <w:rsid w:val="008B6099"/>
    <w:rsid w:val="008B7453"/>
    <w:rsid w:val="008C01CF"/>
    <w:rsid w:val="008C0A38"/>
    <w:rsid w:val="008C3240"/>
    <w:rsid w:val="008C3358"/>
    <w:rsid w:val="008C5A13"/>
    <w:rsid w:val="008C5B85"/>
    <w:rsid w:val="008C69F1"/>
    <w:rsid w:val="008C755D"/>
    <w:rsid w:val="008D002B"/>
    <w:rsid w:val="008D0958"/>
    <w:rsid w:val="008D23E5"/>
    <w:rsid w:val="008D3010"/>
    <w:rsid w:val="008D528B"/>
    <w:rsid w:val="008D6322"/>
    <w:rsid w:val="008E08BB"/>
    <w:rsid w:val="008E1266"/>
    <w:rsid w:val="008E1B30"/>
    <w:rsid w:val="008E2060"/>
    <w:rsid w:val="008E2211"/>
    <w:rsid w:val="008E346D"/>
    <w:rsid w:val="008E35AC"/>
    <w:rsid w:val="008E69E3"/>
    <w:rsid w:val="008E6CAC"/>
    <w:rsid w:val="008F00D0"/>
    <w:rsid w:val="008F02BE"/>
    <w:rsid w:val="008F1DF2"/>
    <w:rsid w:val="008F21F8"/>
    <w:rsid w:val="008F2C6C"/>
    <w:rsid w:val="008F30ED"/>
    <w:rsid w:val="008F3B8F"/>
    <w:rsid w:val="008F4017"/>
    <w:rsid w:val="008F5A53"/>
    <w:rsid w:val="008F5BD1"/>
    <w:rsid w:val="008F6993"/>
    <w:rsid w:val="008F737F"/>
    <w:rsid w:val="00901B4C"/>
    <w:rsid w:val="00903B12"/>
    <w:rsid w:val="00904552"/>
    <w:rsid w:val="009057F9"/>
    <w:rsid w:val="00906424"/>
    <w:rsid w:val="00911F7C"/>
    <w:rsid w:val="0091461C"/>
    <w:rsid w:val="009177D4"/>
    <w:rsid w:val="009211A3"/>
    <w:rsid w:val="0092190A"/>
    <w:rsid w:val="00921C96"/>
    <w:rsid w:val="009227E3"/>
    <w:rsid w:val="009229DD"/>
    <w:rsid w:val="00922A1E"/>
    <w:rsid w:val="0092573B"/>
    <w:rsid w:val="00926352"/>
    <w:rsid w:val="00927534"/>
    <w:rsid w:val="009300AC"/>
    <w:rsid w:val="009307CA"/>
    <w:rsid w:val="009318A4"/>
    <w:rsid w:val="00934636"/>
    <w:rsid w:val="009349A6"/>
    <w:rsid w:val="00934B89"/>
    <w:rsid w:val="00934F87"/>
    <w:rsid w:val="0093582C"/>
    <w:rsid w:val="0093623F"/>
    <w:rsid w:val="00936B50"/>
    <w:rsid w:val="00937EA1"/>
    <w:rsid w:val="00941867"/>
    <w:rsid w:val="00941B91"/>
    <w:rsid w:val="00942D64"/>
    <w:rsid w:val="00943EC1"/>
    <w:rsid w:val="009448A7"/>
    <w:rsid w:val="00945884"/>
    <w:rsid w:val="00945D79"/>
    <w:rsid w:val="00946073"/>
    <w:rsid w:val="00946520"/>
    <w:rsid w:val="00950A70"/>
    <w:rsid w:val="009516B0"/>
    <w:rsid w:val="00953135"/>
    <w:rsid w:val="009540A8"/>
    <w:rsid w:val="00957974"/>
    <w:rsid w:val="00957FF5"/>
    <w:rsid w:val="009603F2"/>
    <w:rsid w:val="00960A90"/>
    <w:rsid w:val="009633A3"/>
    <w:rsid w:val="00963921"/>
    <w:rsid w:val="00963F8C"/>
    <w:rsid w:val="0096413C"/>
    <w:rsid w:val="00965596"/>
    <w:rsid w:val="00965690"/>
    <w:rsid w:val="009667D6"/>
    <w:rsid w:val="00966D61"/>
    <w:rsid w:val="00967AF7"/>
    <w:rsid w:val="009700E3"/>
    <w:rsid w:val="00971B8E"/>
    <w:rsid w:val="009727FA"/>
    <w:rsid w:val="0097320D"/>
    <w:rsid w:val="009732F4"/>
    <w:rsid w:val="0097395F"/>
    <w:rsid w:val="00974179"/>
    <w:rsid w:val="0097560A"/>
    <w:rsid w:val="00976A02"/>
    <w:rsid w:val="00976B6F"/>
    <w:rsid w:val="00976C8C"/>
    <w:rsid w:val="00976FE0"/>
    <w:rsid w:val="00977614"/>
    <w:rsid w:val="00980D80"/>
    <w:rsid w:val="00980EA2"/>
    <w:rsid w:val="00980F7A"/>
    <w:rsid w:val="0098127D"/>
    <w:rsid w:val="0098193C"/>
    <w:rsid w:val="00981D06"/>
    <w:rsid w:val="00981F6B"/>
    <w:rsid w:val="00982238"/>
    <w:rsid w:val="009830F8"/>
    <w:rsid w:val="00983112"/>
    <w:rsid w:val="00985075"/>
    <w:rsid w:val="00985A6E"/>
    <w:rsid w:val="00985D8C"/>
    <w:rsid w:val="00986628"/>
    <w:rsid w:val="00986FD3"/>
    <w:rsid w:val="00987ABE"/>
    <w:rsid w:val="00987D1E"/>
    <w:rsid w:val="00992872"/>
    <w:rsid w:val="00993AF4"/>
    <w:rsid w:val="0099401B"/>
    <w:rsid w:val="00995668"/>
    <w:rsid w:val="009974ED"/>
    <w:rsid w:val="0099793D"/>
    <w:rsid w:val="00997E1F"/>
    <w:rsid w:val="009A0725"/>
    <w:rsid w:val="009A27E7"/>
    <w:rsid w:val="009A2D2A"/>
    <w:rsid w:val="009A58CB"/>
    <w:rsid w:val="009A62F3"/>
    <w:rsid w:val="009A6403"/>
    <w:rsid w:val="009A7761"/>
    <w:rsid w:val="009B07FF"/>
    <w:rsid w:val="009B0CEB"/>
    <w:rsid w:val="009B313A"/>
    <w:rsid w:val="009B3E9B"/>
    <w:rsid w:val="009B43C3"/>
    <w:rsid w:val="009B4942"/>
    <w:rsid w:val="009B5F6D"/>
    <w:rsid w:val="009B7E8E"/>
    <w:rsid w:val="009C1115"/>
    <w:rsid w:val="009C18FC"/>
    <w:rsid w:val="009C54C9"/>
    <w:rsid w:val="009C5FB9"/>
    <w:rsid w:val="009C6583"/>
    <w:rsid w:val="009C6E47"/>
    <w:rsid w:val="009C795D"/>
    <w:rsid w:val="009C7E73"/>
    <w:rsid w:val="009D09D0"/>
    <w:rsid w:val="009D185F"/>
    <w:rsid w:val="009D2299"/>
    <w:rsid w:val="009D29BB"/>
    <w:rsid w:val="009D3818"/>
    <w:rsid w:val="009D46EE"/>
    <w:rsid w:val="009D7F0D"/>
    <w:rsid w:val="009E017C"/>
    <w:rsid w:val="009E12F0"/>
    <w:rsid w:val="009E1F92"/>
    <w:rsid w:val="009E40E1"/>
    <w:rsid w:val="009E4CC5"/>
    <w:rsid w:val="009E4E04"/>
    <w:rsid w:val="009E65C5"/>
    <w:rsid w:val="009E6BC9"/>
    <w:rsid w:val="009E6EC8"/>
    <w:rsid w:val="009E7ECA"/>
    <w:rsid w:val="009F08D7"/>
    <w:rsid w:val="009F0DC8"/>
    <w:rsid w:val="009F24D8"/>
    <w:rsid w:val="009F4439"/>
    <w:rsid w:val="009F4919"/>
    <w:rsid w:val="009F4BC8"/>
    <w:rsid w:val="009F4E7E"/>
    <w:rsid w:val="009F50E7"/>
    <w:rsid w:val="009F5641"/>
    <w:rsid w:val="009F64D1"/>
    <w:rsid w:val="009F6894"/>
    <w:rsid w:val="009F7A98"/>
    <w:rsid w:val="00A00102"/>
    <w:rsid w:val="00A005AA"/>
    <w:rsid w:val="00A00828"/>
    <w:rsid w:val="00A008AA"/>
    <w:rsid w:val="00A00AE4"/>
    <w:rsid w:val="00A00C7A"/>
    <w:rsid w:val="00A00F8D"/>
    <w:rsid w:val="00A017D9"/>
    <w:rsid w:val="00A052D7"/>
    <w:rsid w:val="00A055F5"/>
    <w:rsid w:val="00A072B5"/>
    <w:rsid w:val="00A107EF"/>
    <w:rsid w:val="00A116EC"/>
    <w:rsid w:val="00A11AAE"/>
    <w:rsid w:val="00A1229B"/>
    <w:rsid w:val="00A125E1"/>
    <w:rsid w:val="00A1278A"/>
    <w:rsid w:val="00A13984"/>
    <w:rsid w:val="00A13B0B"/>
    <w:rsid w:val="00A1416B"/>
    <w:rsid w:val="00A14BF2"/>
    <w:rsid w:val="00A16032"/>
    <w:rsid w:val="00A16BAD"/>
    <w:rsid w:val="00A174CD"/>
    <w:rsid w:val="00A208AC"/>
    <w:rsid w:val="00A2253D"/>
    <w:rsid w:val="00A22661"/>
    <w:rsid w:val="00A2466D"/>
    <w:rsid w:val="00A2483F"/>
    <w:rsid w:val="00A24CC5"/>
    <w:rsid w:val="00A25102"/>
    <w:rsid w:val="00A25538"/>
    <w:rsid w:val="00A255CF"/>
    <w:rsid w:val="00A26F58"/>
    <w:rsid w:val="00A315AD"/>
    <w:rsid w:val="00A31739"/>
    <w:rsid w:val="00A318DA"/>
    <w:rsid w:val="00A31EBA"/>
    <w:rsid w:val="00A357BC"/>
    <w:rsid w:val="00A36C92"/>
    <w:rsid w:val="00A37A5B"/>
    <w:rsid w:val="00A40CEB"/>
    <w:rsid w:val="00A41027"/>
    <w:rsid w:val="00A41915"/>
    <w:rsid w:val="00A42BAA"/>
    <w:rsid w:val="00A4420B"/>
    <w:rsid w:val="00A44CC3"/>
    <w:rsid w:val="00A451A3"/>
    <w:rsid w:val="00A45952"/>
    <w:rsid w:val="00A462AB"/>
    <w:rsid w:val="00A46E07"/>
    <w:rsid w:val="00A471A4"/>
    <w:rsid w:val="00A50AF0"/>
    <w:rsid w:val="00A50B7A"/>
    <w:rsid w:val="00A51B43"/>
    <w:rsid w:val="00A53BF3"/>
    <w:rsid w:val="00A54E4E"/>
    <w:rsid w:val="00A55750"/>
    <w:rsid w:val="00A56F89"/>
    <w:rsid w:val="00A6031E"/>
    <w:rsid w:val="00A61289"/>
    <w:rsid w:val="00A630A8"/>
    <w:rsid w:val="00A632E2"/>
    <w:rsid w:val="00A63B5D"/>
    <w:rsid w:val="00A63EF3"/>
    <w:rsid w:val="00A6506B"/>
    <w:rsid w:val="00A65115"/>
    <w:rsid w:val="00A657B8"/>
    <w:rsid w:val="00A65A77"/>
    <w:rsid w:val="00A66B56"/>
    <w:rsid w:val="00A66BB1"/>
    <w:rsid w:val="00A66E33"/>
    <w:rsid w:val="00A67BEA"/>
    <w:rsid w:val="00A700F7"/>
    <w:rsid w:val="00A7033E"/>
    <w:rsid w:val="00A71665"/>
    <w:rsid w:val="00A724C7"/>
    <w:rsid w:val="00A7276B"/>
    <w:rsid w:val="00A73957"/>
    <w:rsid w:val="00A760E5"/>
    <w:rsid w:val="00A76AB3"/>
    <w:rsid w:val="00A76B48"/>
    <w:rsid w:val="00A7747C"/>
    <w:rsid w:val="00A8004D"/>
    <w:rsid w:val="00A80152"/>
    <w:rsid w:val="00A808FE"/>
    <w:rsid w:val="00A81FF5"/>
    <w:rsid w:val="00A82AF6"/>
    <w:rsid w:val="00A82C69"/>
    <w:rsid w:val="00A838F3"/>
    <w:rsid w:val="00A83CC2"/>
    <w:rsid w:val="00A8409C"/>
    <w:rsid w:val="00A846F1"/>
    <w:rsid w:val="00A84817"/>
    <w:rsid w:val="00A852B7"/>
    <w:rsid w:val="00A854CB"/>
    <w:rsid w:val="00A864F8"/>
    <w:rsid w:val="00A86732"/>
    <w:rsid w:val="00A86BEF"/>
    <w:rsid w:val="00A87019"/>
    <w:rsid w:val="00A870F0"/>
    <w:rsid w:val="00A876D2"/>
    <w:rsid w:val="00A915C3"/>
    <w:rsid w:val="00A91C6F"/>
    <w:rsid w:val="00A93439"/>
    <w:rsid w:val="00A95EE3"/>
    <w:rsid w:val="00A966CC"/>
    <w:rsid w:val="00A9674D"/>
    <w:rsid w:val="00A97ED4"/>
    <w:rsid w:val="00AA0D8C"/>
    <w:rsid w:val="00AA1BAF"/>
    <w:rsid w:val="00AA304A"/>
    <w:rsid w:val="00AA4F22"/>
    <w:rsid w:val="00AA4F2F"/>
    <w:rsid w:val="00AA52B4"/>
    <w:rsid w:val="00AA541E"/>
    <w:rsid w:val="00AA5933"/>
    <w:rsid w:val="00AA5EF7"/>
    <w:rsid w:val="00AA6272"/>
    <w:rsid w:val="00AB0896"/>
    <w:rsid w:val="00AB120D"/>
    <w:rsid w:val="00AB165E"/>
    <w:rsid w:val="00AB1CFF"/>
    <w:rsid w:val="00AB2A6B"/>
    <w:rsid w:val="00AB5019"/>
    <w:rsid w:val="00AB72C5"/>
    <w:rsid w:val="00AB7B95"/>
    <w:rsid w:val="00AC05E4"/>
    <w:rsid w:val="00AC31BA"/>
    <w:rsid w:val="00AC31CF"/>
    <w:rsid w:val="00AC3BFB"/>
    <w:rsid w:val="00AC43E3"/>
    <w:rsid w:val="00AC5482"/>
    <w:rsid w:val="00AC5BF0"/>
    <w:rsid w:val="00AC667E"/>
    <w:rsid w:val="00AC77DA"/>
    <w:rsid w:val="00AC792F"/>
    <w:rsid w:val="00AC79FC"/>
    <w:rsid w:val="00AC7B12"/>
    <w:rsid w:val="00AD15C0"/>
    <w:rsid w:val="00AD297C"/>
    <w:rsid w:val="00AD2D51"/>
    <w:rsid w:val="00AD4286"/>
    <w:rsid w:val="00AE21C6"/>
    <w:rsid w:val="00AE2BAD"/>
    <w:rsid w:val="00AE2CAE"/>
    <w:rsid w:val="00AE3096"/>
    <w:rsid w:val="00AE3A8B"/>
    <w:rsid w:val="00AE42E2"/>
    <w:rsid w:val="00AE5184"/>
    <w:rsid w:val="00AE6561"/>
    <w:rsid w:val="00AE7381"/>
    <w:rsid w:val="00AE76C1"/>
    <w:rsid w:val="00AF0EBF"/>
    <w:rsid w:val="00AF1EA3"/>
    <w:rsid w:val="00AF22FF"/>
    <w:rsid w:val="00AF2926"/>
    <w:rsid w:val="00AF31C7"/>
    <w:rsid w:val="00AF36AA"/>
    <w:rsid w:val="00AF3955"/>
    <w:rsid w:val="00AF4504"/>
    <w:rsid w:val="00AF51AA"/>
    <w:rsid w:val="00AF6687"/>
    <w:rsid w:val="00AF6A73"/>
    <w:rsid w:val="00AF72A1"/>
    <w:rsid w:val="00AF7704"/>
    <w:rsid w:val="00AF7D97"/>
    <w:rsid w:val="00B00557"/>
    <w:rsid w:val="00B00CBA"/>
    <w:rsid w:val="00B0209E"/>
    <w:rsid w:val="00B02511"/>
    <w:rsid w:val="00B030F0"/>
    <w:rsid w:val="00B05403"/>
    <w:rsid w:val="00B10DC0"/>
    <w:rsid w:val="00B1440F"/>
    <w:rsid w:val="00B20152"/>
    <w:rsid w:val="00B201AF"/>
    <w:rsid w:val="00B203B7"/>
    <w:rsid w:val="00B21707"/>
    <w:rsid w:val="00B218F8"/>
    <w:rsid w:val="00B227E7"/>
    <w:rsid w:val="00B23526"/>
    <w:rsid w:val="00B239C6"/>
    <w:rsid w:val="00B247AE"/>
    <w:rsid w:val="00B248F8"/>
    <w:rsid w:val="00B24ADC"/>
    <w:rsid w:val="00B24EFD"/>
    <w:rsid w:val="00B31018"/>
    <w:rsid w:val="00B31703"/>
    <w:rsid w:val="00B31D2E"/>
    <w:rsid w:val="00B31D3F"/>
    <w:rsid w:val="00B325C1"/>
    <w:rsid w:val="00B326D1"/>
    <w:rsid w:val="00B32B34"/>
    <w:rsid w:val="00B3436E"/>
    <w:rsid w:val="00B34ABD"/>
    <w:rsid w:val="00B3646A"/>
    <w:rsid w:val="00B365EB"/>
    <w:rsid w:val="00B4055C"/>
    <w:rsid w:val="00B426FC"/>
    <w:rsid w:val="00B43DF4"/>
    <w:rsid w:val="00B44856"/>
    <w:rsid w:val="00B44D1B"/>
    <w:rsid w:val="00B4701C"/>
    <w:rsid w:val="00B478BB"/>
    <w:rsid w:val="00B50154"/>
    <w:rsid w:val="00B501BD"/>
    <w:rsid w:val="00B508D1"/>
    <w:rsid w:val="00B522A1"/>
    <w:rsid w:val="00B53337"/>
    <w:rsid w:val="00B53A94"/>
    <w:rsid w:val="00B53C49"/>
    <w:rsid w:val="00B54CB3"/>
    <w:rsid w:val="00B5523A"/>
    <w:rsid w:val="00B55241"/>
    <w:rsid w:val="00B56C01"/>
    <w:rsid w:val="00B56CA0"/>
    <w:rsid w:val="00B608B0"/>
    <w:rsid w:val="00B616AA"/>
    <w:rsid w:val="00B62013"/>
    <w:rsid w:val="00B6307E"/>
    <w:rsid w:val="00B644CC"/>
    <w:rsid w:val="00B645C2"/>
    <w:rsid w:val="00B649D2"/>
    <w:rsid w:val="00B65622"/>
    <w:rsid w:val="00B66940"/>
    <w:rsid w:val="00B70709"/>
    <w:rsid w:val="00B70EC8"/>
    <w:rsid w:val="00B710FE"/>
    <w:rsid w:val="00B7126D"/>
    <w:rsid w:val="00B7154B"/>
    <w:rsid w:val="00B71F55"/>
    <w:rsid w:val="00B73110"/>
    <w:rsid w:val="00B74C64"/>
    <w:rsid w:val="00B756EF"/>
    <w:rsid w:val="00B76C6D"/>
    <w:rsid w:val="00B802BC"/>
    <w:rsid w:val="00B803D3"/>
    <w:rsid w:val="00B80BF9"/>
    <w:rsid w:val="00B80D6C"/>
    <w:rsid w:val="00B80FDD"/>
    <w:rsid w:val="00B81AD2"/>
    <w:rsid w:val="00B822F5"/>
    <w:rsid w:val="00B82549"/>
    <w:rsid w:val="00B829D5"/>
    <w:rsid w:val="00B832FD"/>
    <w:rsid w:val="00B85C02"/>
    <w:rsid w:val="00B85E9E"/>
    <w:rsid w:val="00B86B0F"/>
    <w:rsid w:val="00B8701D"/>
    <w:rsid w:val="00B87498"/>
    <w:rsid w:val="00B87A2D"/>
    <w:rsid w:val="00B87DB1"/>
    <w:rsid w:val="00B918BF"/>
    <w:rsid w:val="00B91A33"/>
    <w:rsid w:val="00B9227D"/>
    <w:rsid w:val="00B9254F"/>
    <w:rsid w:val="00B94A07"/>
    <w:rsid w:val="00B97936"/>
    <w:rsid w:val="00B97B35"/>
    <w:rsid w:val="00B97BF1"/>
    <w:rsid w:val="00B97E6A"/>
    <w:rsid w:val="00BA1E9C"/>
    <w:rsid w:val="00BA3D5B"/>
    <w:rsid w:val="00BA4150"/>
    <w:rsid w:val="00BA6656"/>
    <w:rsid w:val="00BA6780"/>
    <w:rsid w:val="00BA736F"/>
    <w:rsid w:val="00BA7DAA"/>
    <w:rsid w:val="00BB0594"/>
    <w:rsid w:val="00BB0DAC"/>
    <w:rsid w:val="00BB0E5A"/>
    <w:rsid w:val="00BB32BE"/>
    <w:rsid w:val="00BB35F3"/>
    <w:rsid w:val="00BB3733"/>
    <w:rsid w:val="00BB4FD1"/>
    <w:rsid w:val="00BB54AD"/>
    <w:rsid w:val="00BB7C48"/>
    <w:rsid w:val="00BC037E"/>
    <w:rsid w:val="00BC07CD"/>
    <w:rsid w:val="00BC0EB6"/>
    <w:rsid w:val="00BC1985"/>
    <w:rsid w:val="00BC1A0F"/>
    <w:rsid w:val="00BC1FA6"/>
    <w:rsid w:val="00BC2337"/>
    <w:rsid w:val="00BC30E4"/>
    <w:rsid w:val="00BC3C3B"/>
    <w:rsid w:val="00BC41F2"/>
    <w:rsid w:val="00BC45B1"/>
    <w:rsid w:val="00BC61B6"/>
    <w:rsid w:val="00BC61F6"/>
    <w:rsid w:val="00BC7210"/>
    <w:rsid w:val="00BD0F01"/>
    <w:rsid w:val="00BD0F0F"/>
    <w:rsid w:val="00BD1DB3"/>
    <w:rsid w:val="00BD283E"/>
    <w:rsid w:val="00BD29DD"/>
    <w:rsid w:val="00BD41CC"/>
    <w:rsid w:val="00BD4625"/>
    <w:rsid w:val="00BD4FE6"/>
    <w:rsid w:val="00BD514E"/>
    <w:rsid w:val="00BD5D8A"/>
    <w:rsid w:val="00BD5DDD"/>
    <w:rsid w:val="00BD5EA9"/>
    <w:rsid w:val="00BD6ADC"/>
    <w:rsid w:val="00BD6BFE"/>
    <w:rsid w:val="00BD735E"/>
    <w:rsid w:val="00BD7705"/>
    <w:rsid w:val="00BE0019"/>
    <w:rsid w:val="00BE0351"/>
    <w:rsid w:val="00BE091A"/>
    <w:rsid w:val="00BE0EFE"/>
    <w:rsid w:val="00BE338E"/>
    <w:rsid w:val="00BE43A1"/>
    <w:rsid w:val="00BE5283"/>
    <w:rsid w:val="00BE5B0A"/>
    <w:rsid w:val="00BE5D67"/>
    <w:rsid w:val="00BE604A"/>
    <w:rsid w:val="00BF0873"/>
    <w:rsid w:val="00BF124A"/>
    <w:rsid w:val="00BF3277"/>
    <w:rsid w:val="00BF43AD"/>
    <w:rsid w:val="00BF445C"/>
    <w:rsid w:val="00BF592B"/>
    <w:rsid w:val="00BF5A39"/>
    <w:rsid w:val="00BF5C4C"/>
    <w:rsid w:val="00BF6C85"/>
    <w:rsid w:val="00C006EF"/>
    <w:rsid w:val="00C03BA8"/>
    <w:rsid w:val="00C04318"/>
    <w:rsid w:val="00C04A58"/>
    <w:rsid w:val="00C04B93"/>
    <w:rsid w:val="00C060BD"/>
    <w:rsid w:val="00C06C2A"/>
    <w:rsid w:val="00C06DE0"/>
    <w:rsid w:val="00C0760E"/>
    <w:rsid w:val="00C07A03"/>
    <w:rsid w:val="00C10155"/>
    <w:rsid w:val="00C11089"/>
    <w:rsid w:val="00C110FF"/>
    <w:rsid w:val="00C11271"/>
    <w:rsid w:val="00C127ED"/>
    <w:rsid w:val="00C12C95"/>
    <w:rsid w:val="00C12D52"/>
    <w:rsid w:val="00C13826"/>
    <w:rsid w:val="00C14343"/>
    <w:rsid w:val="00C1487B"/>
    <w:rsid w:val="00C154B0"/>
    <w:rsid w:val="00C170DE"/>
    <w:rsid w:val="00C17992"/>
    <w:rsid w:val="00C20615"/>
    <w:rsid w:val="00C21034"/>
    <w:rsid w:val="00C21532"/>
    <w:rsid w:val="00C22497"/>
    <w:rsid w:val="00C2284B"/>
    <w:rsid w:val="00C23C54"/>
    <w:rsid w:val="00C24A81"/>
    <w:rsid w:val="00C24D7E"/>
    <w:rsid w:val="00C264BC"/>
    <w:rsid w:val="00C268CB"/>
    <w:rsid w:val="00C27187"/>
    <w:rsid w:val="00C279C7"/>
    <w:rsid w:val="00C32F73"/>
    <w:rsid w:val="00C33A3E"/>
    <w:rsid w:val="00C34CE8"/>
    <w:rsid w:val="00C35338"/>
    <w:rsid w:val="00C353FB"/>
    <w:rsid w:val="00C35CD5"/>
    <w:rsid w:val="00C35DA4"/>
    <w:rsid w:val="00C3774B"/>
    <w:rsid w:val="00C401BC"/>
    <w:rsid w:val="00C4087E"/>
    <w:rsid w:val="00C408F6"/>
    <w:rsid w:val="00C4173E"/>
    <w:rsid w:val="00C41B4C"/>
    <w:rsid w:val="00C42404"/>
    <w:rsid w:val="00C4355B"/>
    <w:rsid w:val="00C448A3"/>
    <w:rsid w:val="00C45137"/>
    <w:rsid w:val="00C46F04"/>
    <w:rsid w:val="00C5181F"/>
    <w:rsid w:val="00C5370F"/>
    <w:rsid w:val="00C54742"/>
    <w:rsid w:val="00C551AC"/>
    <w:rsid w:val="00C55EC2"/>
    <w:rsid w:val="00C56D2E"/>
    <w:rsid w:val="00C57A67"/>
    <w:rsid w:val="00C57F62"/>
    <w:rsid w:val="00C60608"/>
    <w:rsid w:val="00C609A2"/>
    <w:rsid w:val="00C60D18"/>
    <w:rsid w:val="00C60F03"/>
    <w:rsid w:val="00C6181F"/>
    <w:rsid w:val="00C61A22"/>
    <w:rsid w:val="00C62522"/>
    <w:rsid w:val="00C63212"/>
    <w:rsid w:val="00C63328"/>
    <w:rsid w:val="00C636F6"/>
    <w:rsid w:val="00C63B4D"/>
    <w:rsid w:val="00C64A57"/>
    <w:rsid w:val="00C70D2C"/>
    <w:rsid w:val="00C7140E"/>
    <w:rsid w:val="00C71E33"/>
    <w:rsid w:val="00C729F4"/>
    <w:rsid w:val="00C73784"/>
    <w:rsid w:val="00C73BF1"/>
    <w:rsid w:val="00C74F6A"/>
    <w:rsid w:val="00C750D3"/>
    <w:rsid w:val="00C75167"/>
    <w:rsid w:val="00C75E7F"/>
    <w:rsid w:val="00C76C63"/>
    <w:rsid w:val="00C76F1E"/>
    <w:rsid w:val="00C771A7"/>
    <w:rsid w:val="00C81DB4"/>
    <w:rsid w:val="00C82997"/>
    <w:rsid w:val="00C82CF7"/>
    <w:rsid w:val="00C8315C"/>
    <w:rsid w:val="00C835B1"/>
    <w:rsid w:val="00C8386E"/>
    <w:rsid w:val="00C8502E"/>
    <w:rsid w:val="00C855E2"/>
    <w:rsid w:val="00C85AB7"/>
    <w:rsid w:val="00C86575"/>
    <w:rsid w:val="00C86992"/>
    <w:rsid w:val="00C904F0"/>
    <w:rsid w:val="00C912EE"/>
    <w:rsid w:val="00C91B26"/>
    <w:rsid w:val="00C93386"/>
    <w:rsid w:val="00C94A74"/>
    <w:rsid w:val="00C954DF"/>
    <w:rsid w:val="00C9741C"/>
    <w:rsid w:val="00C975D0"/>
    <w:rsid w:val="00CA0712"/>
    <w:rsid w:val="00CA1E68"/>
    <w:rsid w:val="00CA23A6"/>
    <w:rsid w:val="00CA3B53"/>
    <w:rsid w:val="00CA41B7"/>
    <w:rsid w:val="00CA48D0"/>
    <w:rsid w:val="00CA4ACF"/>
    <w:rsid w:val="00CA4D62"/>
    <w:rsid w:val="00CA56CF"/>
    <w:rsid w:val="00CA5ED5"/>
    <w:rsid w:val="00CA66B3"/>
    <w:rsid w:val="00CA71C6"/>
    <w:rsid w:val="00CA7760"/>
    <w:rsid w:val="00CB080D"/>
    <w:rsid w:val="00CB08A5"/>
    <w:rsid w:val="00CB1778"/>
    <w:rsid w:val="00CB30E1"/>
    <w:rsid w:val="00CB3C43"/>
    <w:rsid w:val="00CB4D2C"/>
    <w:rsid w:val="00CB51DB"/>
    <w:rsid w:val="00CB5E22"/>
    <w:rsid w:val="00CC0565"/>
    <w:rsid w:val="00CC1133"/>
    <w:rsid w:val="00CC1402"/>
    <w:rsid w:val="00CC1A12"/>
    <w:rsid w:val="00CC1E01"/>
    <w:rsid w:val="00CC1FCC"/>
    <w:rsid w:val="00CC30E8"/>
    <w:rsid w:val="00CC372A"/>
    <w:rsid w:val="00CC3BA5"/>
    <w:rsid w:val="00CC3FD7"/>
    <w:rsid w:val="00CC4412"/>
    <w:rsid w:val="00CC4A0B"/>
    <w:rsid w:val="00CC5881"/>
    <w:rsid w:val="00CC5AC7"/>
    <w:rsid w:val="00CC5B04"/>
    <w:rsid w:val="00CC6519"/>
    <w:rsid w:val="00CC6FA4"/>
    <w:rsid w:val="00CD0544"/>
    <w:rsid w:val="00CD09D8"/>
    <w:rsid w:val="00CD1298"/>
    <w:rsid w:val="00CD1C76"/>
    <w:rsid w:val="00CD2FE0"/>
    <w:rsid w:val="00CD3E88"/>
    <w:rsid w:val="00CD4314"/>
    <w:rsid w:val="00CD4ABD"/>
    <w:rsid w:val="00CD4DD8"/>
    <w:rsid w:val="00CD60E3"/>
    <w:rsid w:val="00CD696A"/>
    <w:rsid w:val="00CE2A8B"/>
    <w:rsid w:val="00CE3302"/>
    <w:rsid w:val="00CE3C8F"/>
    <w:rsid w:val="00CE3D2A"/>
    <w:rsid w:val="00CE424C"/>
    <w:rsid w:val="00CE442A"/>
    <w:rsid w:val="00CE4EC4"/>
    <w:rsid w:val="00CE5CD0"/>
    <w:rsid w:val="00CE5DF5"/>
    <w:rsid w:val="00CE6400"/>
    <w:rsid w:val="00CE6D44"/>
    <w:rsid w:val="00CF00FA"/>
    <w:rsid w:val="00CF1B13"/>
    <w:rsid w:val="00CF1BBC"/>
    <w:rsid w:val="00CF1E63"/>
    <w:rsid w:val="00CF1EBB"/>
    <w:rsid w:val="00CF2573"/>
    <w:rsid w:val="00CF2D10"/>
    <w:rsid w:val="00CF302E"/>
    <w:rsid w:val="00CF4679"/>
    <w:rsid w:val="00CF6521"/>
    <w:rsid w:val="00CF7125"/>
    <w:rsid w:val="00CF79C7"/>
    <w:rsid w:val="00CF7D9B"/>
    <w:rsid w:val="00D009E7"/>
    <w:rsid w:val="00D01904"/>
    <w:rsid w:val="00D01DF7"/>
    <w:rsid w:val="00D0352B"/>
    <w:rsid w:val="00D035BB"/>
    <w:rsid w:val="00D03EE1"/>
    <w:rsid w:val="00D04830"/>
    <w:rsid w:val="00D05E8E"/>
    <w:rsid w:val="00D0623E"/>
    <w:rsid w:val="00D06D2F"/>
    <w:rsid w:val="00D07251"/>
    <w:rsid w:val="00D1043A"/>
    <w:rsid w:val="00D11061"/>
    <w:rsid w:val="00D124B2"/>
    <w:rsid w:val="00D12569"/>
    <w:rsid w:val="00D12D1D"/>
    <w:rsid w:val="00D12FC1"/>
    <w:rsid w:val="00D141B0"/>
    <w:rsid w:val="00D14866"/>
    <w:rsid w:val="00D14B83"/>
    <w:rsid w:val="00D20FE3"/>
    <w:rsid w:val="00D21853"/>
    <w:rsid w:val="00D219C1"/>
    <w:rsid w:val="00D22591"/>
    <w:rsid w:val="00D22B2B"/>
    <w:rsid w:val="00D22E30"/>
    <w:rsid w:val="00D23991"/>
    <w:rsid w:val="00D24DD1"/>
    <w:rsid w:val="00D25B3D"/>
    <w:rsid w:val="00D25D13"/>
    <w:rsid w:val="00D26923"/>
    <w:rsid w:val="00D30BB2"/>
    <w:rsid w:val="00D31F7B"/>
    <w:rsid w:val="00D3274F"/>
    <w:rsid w:val="00D32CF7"/>
    <w:rsid w:val="00D3339C"/>
    <w:rsid w:val="00D3401F"/>
    <w:rsid w:val="00D345F6"/>
    <w:rsid w:val="00D36597"/>
    <w:rsid w:val="00D3724A"/>
    <w:rsid w:val="00D3769C"/>
    <w:rsid w:val="00D37B6F"/>
    <w:rsid w:val="00D40DCE"/>
    <w:rsid w:val="00D41282"/>
    <w:rsid w:val="00D42AF6"/>
    <w:rsid w:val="00D42DBB"/>
    <w:rsid w:val="00D438E7"/>
    <w:rsid w:val="00D43A26"/>
    <w:rsid w:val="00D43CDA"/>
    <w:rsid w:val="00D43EF3"/>
    <w:rsid w:val="00D45869"/>
    <w:rsid w:val="00D4709F"/>
    <w:rsid w:val="00D50337"/>
    <w:rsid w:val="00D51FDE"/>
    <w:rsid w:val="00D52212"/>
    <w:rsid w:val="00D52990"/>
    <w:rsid w:val="00D53F8A"/>
    <w:rsid w:val="00D555DF"/>
    <w:rsid w:val="00D561F8"/>
    <w:rsid w:val="00D56592"/>
    <w:rsid w:val="00D569EF"/>
    <w:rsid w:val="00D56A6A"/>
    <w:rsid w:val="00D56DF1"/>
    <w:rsid w:val="00D5723C"/>
    <w:rsid w:val="00D60E12"/>
    <w:rsid w:val="00D6264C"/>
    <w:rsid w:val="00D643F3"/>
    <w:rsid w:val="00D64632"/>
    <w:rsid w:val="00D657F5"/>
    <w:rsid w:val="00D6607F"/>
    <w:rsid w:val="00D66653"/>
    <w:rsid w:val="00D67A36"/>
    <w:rsid w:val="00D67B05"/>
    <w:rsid w:val="00D71AAC"/>
    <w:rsid w:val="00D736E1"/>
    <w:rsid w:val="00D76198"/>
    <w:rsid w:val="00D77197"/>
    <w:rsid w:val="00D77332"/>
    <w:rsid w:val="00D8064E"/>
    <w:rsid w:val="00D815EE"/>
    <w:rsid w:val="00D8269A"/>
    <w:rsid w:val="00D846D1"/>
    <w:rsid w:val="00D84F84"/>
    <w:rsid w:val="00D85450"/>
    <w:rsid w:val="00D85FD0"/>
    <w:rsid w:val="00D860EA"/>
    <w:rsid w:val="00D8676B"/>
    <w:rsid w:val="00D9243B"/>
    <w:rsid w:val="00D9303D"/>
    <w:rsid w:val="00D93AA5"/>
    <w:rsid w:val="00D93B24"/>
    <w:rsid w:val="00D94722"/>
    <w:rsid w:val="00D94F25"/>
    <w:rsid w:val="00D95A20"/>
    <w:rsid w:val="00D95B25"/>
    <w:rsid w:val="00D96672"/>
    <w:rsid w:val="00D9754D"/>
    <w:rsid w:val="00D97813"/>
    <w:rsid w:val="00D97CAF"/>
    <w:rsid w:val="00DA0826"/>
    <w:rsid w:val="00DA1055"/>
    <w:rsid w:val="00DA2CFB"/>
    <w:rsid w:val="00DA579B"/>
    <w:rsid w:val="00DA60EE"/>
    <w:rsid w:val="00DA6129"/>
    <w:rsid w:val="00DA6784"/>
    <w:rsid w:val="00DA6E97"/>
    <w:rsid w:val="00DB335E"/>
    <w:rsid w:val="00DB3C35"/>
    <w:rsid w:val="00DB407A"/>
    <w:rsid w:val="00DB433F"/>
    <w:rsid w:val="00DB4A4F"/>
    <w:rsid w:val="00DB4BA4"/>
    <w:rsid w:val="00DB7C53"/>
    <w:rsid w:val="00DC10F7"/>
    <w:rsid w:val="00DC175B"/>
    <w:rsid w:val="00DC1938"/>
    <w:rsid w:val="00DC1EE1"/>
    <w:rsid w:val="00DC23CF"/>
    <w:rsid w:val="00DC4192"/>
    <w:rsid w:val="00DC632E"/>
    <w:rsid w:val="00DC73EA"/>
    <w:rsid w:val="00DD09A2"/>
    <w:rsid w:val="00DD39FB"/>
    <w:rsid w:val="00DD5101"/>
    <w:rsid w:val="00DD58E2"/>
    <w:rsid w:val="00DD5ABE"/>
    <w:rsid w:val="00DD5F6D"/>
    <w:rsid w:val="00DD6927"/>
    <w:rsid w:val="00DD7378"/>
    <w:rsid w:val="00DD79DA"/>
    <w:rsid w:val="00DD7C49"/>
    <w:rsid w:val="00DE035A"/>
    <w:rsid w:val="00DE0A7A"/>
    <w:rsid w:val="00DE0B7B"/>
    <w:rsid w:val="00DE1813"/>
    <w:rsid w:val="00DE2DC0"/>
    <w:rsid w:val="00DE3879"/>
    <w:rsid w:val="00DE41FA"/>
    <w:rsid w:val="00DE4311"/>
    <w:rsid w:val="00DE4DAB"/>
    <w:rsid w:val="00DE4DFD"/>
    <w:rsid w:val="00DE559A"/>
    <w:rsid w:val="00DE5DDB"/>
    <w:rsid w:val="00DE7197"/>
    <w:rsid w:val="00DE7298"/>
    <w:rsid w:val="00DE7B06"/>
    <w:rsid w:val="00DE7F20"/>
    <w:rsid w:val="00DF0478"/>
    <w:rsid w:val="00DF059C"/>
    <w:rsid w:val="00DF2C9A"/>
    <w:rsid w:val="00DF2D66"/>
    <w:rsid w:val="00DF56C4"/>
    <w:rsid w:val="00DF59DA"/>
    <w:rsid w:val="00DF5A6D"/>
    <w:rsid w:val="00DF5D98"/>
    <w:rsid w:val="00DF692D"/>
    <w:rsid w:val="00DF7B2A"/>
    <w:rsid w:val="00E0191D"/>
    <w:rsid w:val="00E01CB7"/>
    <w:rsid w:val="00E021C1"/>
    <w:rsid w:val="00E02941"/>
    <w:rsid w:val="00E02FC8"/>
    <w:rsid w:val="00E02FDD"/>
    <w:rsid w:val="00E04407"/>
    <w:rsid w:val="00E0473F"/>
    <w:rsid w:val="00E04F07"/>
    <w:rsid w:val="00E0647A"/>
    <w:rsid w:val="00E06E0E"/>
    <w:rsid w:val="00E0749F"/>
    <w:rsid w:val="00E0768D"/>
    <w:rsid w:val="00E11D6E"/>
    <w:rsid w:val="00E134C8"/>
    <w:rsid w:val="00E13F69"/>
    <w:rsid w:val="00E1418E"/>
    <w:rsid w:val="00E1558E"/>
    <w:rsid w:val="00E16903"/>
    <w:rsid w:val="00E24A51"/>
    <w:rsid w:val="00E25C29"/>
    <w:rsid w:val="00E26A1B"/>
    <w:rsid w:val="00E26FC7"/>
    <w:rsid w:val="00E278BD"/>
    <w:rsid w:val="00E31A88"/>
    <w:rsid w:val="00E31D72"/>
    <w:rsid w:val="00E33B7D"/>
    <w:rsid w:val="00E33E9F"/>
    <w:rsid w:val="00E34A54"/>
    <w:rsid w:val="00E34E2E"/>
    <w:rsid w:val="00E3599F"/>
    <w:rsid w:val="00E364C2"/>
    <w:rsid w:val="00E371B0"/>
    <w:rsid w:val="00E42D76"/>
    <w:rsid w:val="00E431B3"/>
    <w:rsid w:val="00E43F4A"/>
    <w:rsid w:val="00E45148"/>
    <w:rsid w:val="00E46320"/>
    <w:rsid w:val="00E47993"/>
    <w:rsid w:val="00E47FC2"/>
    <w:rsid w:val="00E513CA"/>
    <w:rsid w:val="00E51F8F"/>
    <w:rsid w:val="00E52744"/>
    <w:rsid w:val="00E52E15"/>
    <w:rsid w:val="00E52F20"/>
    <w:rsid w:val="00E54624"/>
    <w:rsid w:val="00E55102"/>
    <w:rsid w:val="00E55D19"/>
    <w:rsid w:val="00E56061"/>
    <w:rsid w:val="00E56593"/>
    <w:rsid w:val="00E56A0A"/>
    <w:rsid w:val="00E56FB4"/>
    <w:rsid w:val="00E57425"/>
    <w:rsid w:val="00E5773B"/>
    <w:rsid w:val="00E57FF4"/>
    <w:rsid w:val="00E62130"/>
    <w:rsid w:val="00E63EA7"/>
    <w:rsid w:val="00E65050"/>
    <w:rsid w:val="00E656CE"/>
    <w:rsid w:val="00E65C3D"/>
    <w:rsid w:val="00E65F73"/>
    <w:rsid w:val="00E66825"/>
    <w:rsid w:val="00E6772E"/>
    <w:rsid w:val="00E67B90"/>
    <w:rsid w:val="00E7138C"/>
    <w:rsid w:val="00E725C7"/>
    <w:rsid w:val="00E72E23"/>
    <w:rsid w:val="00E74F16"/>
    <w:rsid w:val="00E75C92"/>
    <w:rsid w:val="00E76104"/>
    <w:rsid w:val="00E77DDC"/>
    <w:rsid w:val="00E80247"/>
    <w:rsid w:val="00E8047D"/>
    <w:rsid w:val="00E81265"/>
    <w:rsid w:val="00E829A4"/>
    <w:rsid w:val="00E90D7B"/>
    <w:rsid w:val="00E9209F"/>
    <w:rsid w:val="00E92EB8"/>
    <w:rsid w:val="00E93018"/>
    <w:rsid w:val="00E95322"/>
    <w:rsid w:val="00E96B6E"/>
    <w:rsid w:val="00E96D33"/>
    <w:rsid w:val="00E97A68"/>
    <w:rsid w:val="00E97F28"/>
    <w:rsid w:val="00EA056A"/>
    <w:rsid w:val="00EA082D"/>
    <w:rsid w:val="00EA0F1A"/>
    <w:rsid w:val="00EA1601"/>
    <w:rsid w:val="00EA24A5"/>
    <w:rsid w:val="00EA2DDF"/>
    <w:rsid w:val="00EA410B"/>
    <w:rsid w:val="00EA4355"/>
    <w:rsid w:val="00EA51DC"/>
    <w:rsid w:val="00EA54FB"/>
    <w:rsid w:val="00EA60FD"/>
    <w:rsid w:val="00EA619A"/>
    <w:rsid w:val="00EA65CA"/>
    <w:rsid w:val="00EA7FA5"/>
    <w:rsid w:val="00EB062B"/>
    <w:rsid w:val="00EB08C0"/>
    <w:rsid w:val="00EB0AF9"/>
    <w:rsid w:val="00EB14BA"/>
    <w:rsid w:val="00EB3137"/>
    <w:rsid w:val="00EB4663"/>
    <w:rsid w:val="00EC0653"/>
    <w:rsid w:val="00EC23E7"/>
    <w:rsid w:val="00EC385B"/>
    <w:rsid w:val="00EC402F"/>
    <w:rsid w:val="00EC43F7"/>
    <w:rsid w:val="00EC4499"/>
    <w:rsid w:val="00EC4FB7"/>
    <w:rsid w:val="00EC55F9"/>
    <w:rsid w:val="00EC6291"/>
    <w:rsid w:val="00EC654B"/>
    <w:rsid w:val="00ED07F5"/>
    <w:rsid w:val="00ED1C96"/>
    <w:rsid w:val="00ED25A1"/>
    <w:rsid w:val="00ED33C0"/>
    <w:rsid w:val="00ED40DA"/>
    <w:rsid w:val="00ED61D8"/>
    <w:rsid w:val="00ED6B6B"/>
    <w:rsid w:val="00ED6CF3"/>
    <w:rsid w:val="00ED6FCD"/>
    <w:rsid w:val="00ED7B2F"/>
    <w:rsid w:val="00EE15E4"/>
    <w:rsid w:val="00EE2735"/>
    <w:rsid w:val="00EE34D3"/>
    <w:rsid w:val="00EE3A22"/>
    <w:rsid w:val="00EE500D"/>
    <w:rsid w:val="00EE5D28"/>
    <w:rsid w:val="00EE6451"/>
    <w:rsid w:val="00EE66DD"/>
    <w:rsid w:val="00EE768B"/>
    <w:rsid w:val="00EF0D7E"/>
    <w:rsid w:val="00EF0D80"/>
    <w:rsid w:val="00EF14C0"/>
    <w:rsid w:val="00EF3839"/>
    <w:rsid w:val="00EF383B"/>
    <w:rsid w:val="00EF414A"/>
    <w:rsid w:val="00EF508C"/>
    <w:rsid w:val="00EF60D1"/>
    <w:rsid w:val="00EF6D29"/>
    <w:rsid w:val="00F00566"/>
    <w:rsid w:val="00F00891"/>
    <w:rsid w:val="00F032C9"/>
    <w:rsid w:val="00F0350B"/>
    <w:rsid w:val="00F035A2"/>
    <w:rsid w:val="00F0480E"/>
    <w:rsid w:val="00F0552C"/>
    <w:rsid w:val="00F106D3"/>
    <w:rsid w:val="00F10FA8"/>
    <w:rsid w:val="00F143FD"/>
    <w:rsid w:val="00F15B0C"/>
    <w:rsid w:val="00F15D08"/>
    <w:rsid w:val="00F15E95"/>
    <w:rsid w:val="00F230BD"/>
    <w:rsid w:val="00F23A35"/>
    <w:rsid w:val="00F2436D"/>
    <w:rsid w:val="00F25214"/>
    <w:rsid w:val="00F25C68"/>
    <w:rsid w:val="00F25E36"/>
    <w:rsid w:val="00F26662"/>
    <w:rsid w:val="00F2755C"/>
    <w:rsid w:val="00F300DC"/>
    <w:rsid w:val="00F31273"/>
    <w:rsid w:val="00F312D0"/>
    <w:rsid w:val="00F317D8"/>
    <w:rsid w:val="00F3364B"/>
    <w:rsid w:val="00F3399C"/>
    <w:rsid w:val="00F340E9"/>
    <w:rsid w:val="00F34796"/>
    <w:rsid w:val="00F34D98"/>
    <w:rsid w:val="00F357ED"/>
    <w:rsid w:val="00F364E6"/>
    <w:rsid w:val="00F37D3D"/>
    <w:rsid w:val="00F37D9B"/>
    <w:rsid w:val="00F37DBC"/>
    <w:rsid w:val="00F4026B"/>
    <w:rsid w:val="00F412B7"/>
    <w:rsid w:val="00F4163C"/>
    <w:rsid w:val="00F41B85"/>
    <w:rsid w:val="00F445E9"/>
    <w:rsid w:val="00F448B0"/>
    <w:rsid w:val="00F45B3B"/>
    <w:rsid w:val="00F46F48"/>
    <w:rsid w:val="00F50B71"/>
    <w:rsid w:val="00F521C9"/>
    <w:rsid w:val="00F5276C"/>
    <w:rsid w:val="00F5280D"/>
    <w:rsid w:val="00F52C53"/>
    <w:rsid w:val="00F53C09"/>
    <w:rsid w:val="00F5494E"/>
    <w:rsid w:val="00F54A8C"/>
    <w:rsid w:val="00F5528F"/>
    <w:rsid w:val="00F560F4"/>
    <w:rsid w:val="00F570E1"/>
    <w:rsid w:val="00F5751D"/>
    <w:rsid w:val="00F60291"/>
    <w:rsid w:val="00F60781"/>
    <w:rsid w:val="00F60A94"/>
    <w:rsid w:val="00F61790"/>
    <w:rsid w:val="00F62839"/>
    <w:rsid w:val="00F629F4"/>
    <w:rsid w:val="00F63959"/>
    <w:rsid w:val="00F664E4"/>
    <w:rsid w:val="00F66836"/>
    <w:rsid w:val="00F66E14"/>
    <w:rsid w:val="00F67B63"/>
    <w:rsid w:val="00F71E49"/>
    <w:rsid w:val="00F725FD"/>
    <w:rsid w:val="00F733B0"/>
    <w:rsid w:val="00F74B8D"/>
    <w:rsid w:val="00F777F8"/>
    <w:rsid w:val="00F77A44"/>
    <w:rsid w:val="00F81191"/>
    <w:rsid w:val="00F81E39"/>
    <w:rsid w:val="00F851B1"/>
    <w:rsid w:val="00F85AC0"/>
    <w:rsid w:val="00F85DB3"/>
    <w:rsid w:val="00F87420"/>
    <w:rsid w:val="00F87E8F"/>
    <w:rsid w:val="00F90470"/>
    <w:rsid w:val="00F90813"/>
    <w:rsid w:val="00F90E0A"/>
    <w:rsid w:val="00F90E23"/>
    <w:rsid w:val="00F910AC"/>
    <w:rsid w:val="00F920CF"/>
    <w:rsid w:val="00F9325E"/>
    <w:rsid w:val="00F94183"/>
    <w:rsid w:val="00F94EA1"/>
    <w:rsid w:val="00F956DD"/>
    <w:rsid w:val="00F96D8C"/>
    <w:rsid w:val="00FA03D4"/>
    <w:rsid w:val="00FA09E3"/>
    <w:rsid w:val="00FA3183"/>
    <w:rsid w:val="00FA4368"/>
    <w:rsid w:val="00FA550A"/>
    <w:rsid w:val="00FA5D77"/>
    <w:rsid w:val="00FA6083"/>
    <w:rsid w:val="00FA667E"/>
    <w:rsid w:val="00FA6719"/>
    <w:rsid w:val="00FA7CFA"/>
    <w:rsid w:val="00FB1067"/>
    <w:rsid w:val="00FB1353"/>
    <w:rsid w:val="00FB2425"/>
    <w:rsid w:val="00FB27B4"/>
    <w:rsid w:val="00FB2A52"/>
    <w:rsid w:val="00FB3491"/>
    <w:rsid w:val="00FC045D"/>
    <w:rsid w:val="00FC1FDC"/>
    <w:rsid w:val="00FC2707"/>
    <w:rsid w:val="00FC296F"/>
    <w:rsid w:val="00FC2A16"/>
    <w:rsid w:val="00FC36D0"/>
    <w:rsid w:val="00FC42DC"/>
    <w:rsid w:val="00FC45B4"/>
    <w:rsid w:val="00FC5E44"/>
    <w:rsid w:val="00FC6478"/>
    <w:rsid w:val="00FC6EE1"/>
    <w:rsid w:val="00FD31A5"/>
    <w:rsid w:val="00FD370F"/>
    <w:rsid w:val="00FD41C5"/>
    <w:rsid w:val="00FD58DD"/>
    <w:rsid w:val="00FD67FF"/>
    <w:rsid w:val="00FD69D5"/>
    <w:rsid w:val="00FD6BAD"/>
    <w:rsid w:val="00FE03F7"/>
    <w:rsid w:val="00FE0700"/>
    <w:rsid w:val="00FE110A"/>
    <w:rsid w:val="00FE1B04"/>
    <w:rsid w:val="00FE2C6B"/>
    <w:rsid w:val="00FE2F97"/>
    <w:rsid w:val="00FE48AB"/>
    <w:rsid w:val="00FE4D4B"/>
    <w:rsid w:val="00FE50B9"/>
    <w:rsid w:val="00FE601C"/>
    <w:rsid w:val="00FE6831"/>
    <w:rsid w:val="00FE7981"/>
    <w:rsid w:val="00FF0DFB"/>
    <w:rsid w:val="00FF36E6"/>
    <w:rsid w:val="00FF5818"/>
    <w:rsid w:val="00FF59F0"/>
    <w:rsid w:val="00FF74E5"/>
    <w:rsid w:val="00FF79C6"/>
    <w:rsid w:val="00FF7C45"/>
    <w:rsid w:val="3BB5BBE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34C3F"/>
  <w15:chartTrackingRefBased/>
  <w15:docId w15:val="{EBA1AAE1-6947-4E6D-B205-75FDA39B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utsche Bank Text" w:eastAsiaTheme="minorHAnsi" w:hAnsi="Deutsche Bank Text" w:cstheme="minorBidi"/>
        <w:lang w:val="de-DE" w:eastAsia="en-US" w:bidi="ar-SA"/>
      </w:rPr>
    </w:rPrDefault>
    <w:pPrDefault>
      <w:pPr>
        <w:spacing w:before="120" w:after="120" w:line="252"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qFormat="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0873"/>
    <w:rPr>
      <w:lang w:val="en-GB"/>
    </w:rPr>
  </w:style>
  <w:style w:type="paragraph" w:styleId="berschrift1">
    <w:name w:val="heading 1"/>
    <w:aliases w:val="headline 1,Body Text 1"/>
    <w:basedOn w:val="Standard"/>
    <w:next w:val="Standard"/>
    <w:link w:val="berschrift1Zchn"/>
    <w:qFormat/>
    <w:rsid w:val="004A35AF"/>
    <w:pPr>
      <w:keepNext/>
      <w:keepLines/>
      <w:numPr>
        <w:numId w:val="3"/>
      </w:numPr>
      <w:spacing w:before="360" w:after="240"/>
      <w:outlineLvl w:val="0"/>
    </w:pPr>
    <w:rPr>
      <w:rFonts w:eastAsiaTheme="majorEastAsia" w:cstheme="majorBidi"/>
      <w:color w:val="0018A8" w:themeColor="accent1"/>
      <w:sz w:val="24"/>
      <w:szCs w:val="32"/>
    </w:rPr>
  </w:style>
  <w:style w:type="paragraph" w:styleId="berschrift2">
    <w:name w:val="heading 2"/>
    <w:aliases w:val="headline 2"/>
    <w:basedOn w:val="berschrift1"/>
    <w:next w:val="Standard"/>
    <w:link w:val="berschrift2Zchn"/>
    <w:unhideWhenUsed/>
    <w:qFormat/>
    <w:locked/>
    <w:rsid w:val="006537E5"/>
    <w:pPr>
      <w:numPr>
        <w:ilvl w:val="1"/>
      </w:numPr>
      <w:spacing w:before="240" w:after="120"/>
      <w:ind w:left="709" w:hanging="709"/>
      <w:outlineLvl w:val="1"/>
    </w:pPr>
    <w:rPr>
      <w:color w:val="0018A8"/>
      <w:szCs w:val="26"/>
    </w:rPr>
  </w:style>
  <w:style w:type="paragraph" w:styleId="berschrift3">
    <w:name w:val="heading 3"/>
    <w:aliases w:val="headline 3"/>
    <w:basedOn w:val="berschrift2"/>
    <w:next w:val="Standard"/>
    <w:link w:val="berschrift3Zchn"/>
    <w:unhideWhenUsed/>
    <w:qFormat/>
    <w:locked/>
    <w:rsid w:val="00E55D19"/>
    <w:pPr>
      <w:numPr>
        <w:ilvl w:val="2"/>
      </w:numPr>
      <w:ind w:left="709" w:hanging="709"/>
      <w:outlineLvl w:val="2"/>
    </w:pPr>
    <w:rPr>
      <w:szCs w:val="24"/>
    </w:rPr>
  </w:style>
  <w:style w:type="paragraph" w:styleId="berschrift4">
    <w:name w:val="heading 4"/>
    <w:basedOn w:val="Standard"/>
    <w:next w:val="Standard"/>
    <w:link w:val="berschrift4Zchn"/>
    <w:unhideWhenUsed/>
    <w:qFormat/>
    <w:locked/>
    <w:rsid w:val="001E61E8"/>
    <w:pPr>
      <w:keepNext/>
      <w:keepLines/>
      <w:numPr>
        <w:ilvl w:val="3"/>
        <w:numId w:val="3"/>
      </w:numPr>
      <w:outlineLvl w:val="3"/>
    </w:pPr>
    <w:rPr>
      <w:iCs/>
      <w:color w:val="0018A8" w:themeColor="accent1"/>
    </w:rPr>
  </w:style>
  <w:style w:type="paragraph" w:styleId="berschrift5">
    <w:name w:val="heading 5"/>
    <w:basedOn w:val="berschrift4"/>
    <w:next w:val="Standard"/>
    <w:link w:val="berschrift5Zchn"/>
    <w:semiHidden/>
    <w:unhideWhenUsed/>
    <w:qFormat/>
    <w:locked/>
    <w:rsid w:val="000206D8"/>
    <w:pPr>
      <w:numPr>
        <w:ilvl w:val="4"/>
      </w:numPr>
      <w:outlineLvl w:val="4"/>
    </w:pPr>
    <w:rPr>
      <w:rFonts w:eastAsiaTheme="majorEastAsia"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0BC3"/>
    <w:pPr>
      <w:tabs>
        <w:tab w:val="center" w:pos="4513"/>
        <w:tab w:val="right" w:pos="9026"/>
      </w:tabs>
      <w:spacing w:before="240" w:after="0" w:line="240" w:lineRule="auto"/>
    </w:pPr>
    <w:rPr>
      <w:color w:val="0C2340"/>
      <w:sz w:val="24"/>
    </w:rPr>
  </w:style>
  <w:style w:type="character" w:customStyle="1" w:styleId="KopfzeileZchn">
    <w:name w:val="Kopfzeile Zchn"/>
    <w:basedOn w:val="Absatz-Standardschriftart"/>
    <w:link w:val="Kopfzeile"/>
    <w:uiPriority w:val="99"/>
    <w:rsid w:val="00740BC3"/>
    <w:rPr>
      <w:rFonts w:ascii="Deutsche Bank Text" w:hAnsi="Deutsche Bank Text"/>
      <w:color w:val="0C2340"/>
      <w:sz w:val="24"/>
    </w:rPr>
  </w:style>
  <w:style w:type="paragraph" w:styleId="Fuzeile">
    <w:name w:val="footer"/>
    <w:basedOn w:val="Standard"/>
    <w:link w:val="FuzeileZchn"/>
    <w:uiPriority w:val="99"/>
    <w:unhideWhenUsed/>
    <w:rsid w:val="00477E4A"/>
    <w:pPr>
      <w:spacing w:line="240" w:lineRule="auto"/>
    </w:pPr>
    <w:rPr>
      <w:sz w:val="16"/>
    </w:rPr>
  </w:style>
  <w:style w:type="character" w:customStyle="1" w:styleId="FuzeileZchn">
    <w:name w:val="Fußzeile Zchn"/>
    <w:basedOn w:val="Absatz-Standardschriftart"/>
    <w:link w:val="Fuzeile"/>
    <w:uiPriority w:val="99"/>
    <w:rsid w:val="00477E4A"/>
    <w:rPr>
      <w:sz w:val="16"/>
      <w:lang w:val="en-GB"/>
    </w:rPr>
  </w:style>
  <w:style w:type="paragraph" w:customStyle="1" w:styleId="identifier">
    <w:name w:val="identifier"/>
    <w:basedOn w:val="Standard"/>
    <w:next w:val="Standard"/>
    <w:rsid w:val="00B710FE"/>
    <w:pPr>
      <w:tabs>
        <w:tab w:val="center" w:pos="4536"/>
        <w:tab w:val="right" w:pos="9072"/>
      </w:tabs>
      <w:spacing w:line="240" w:lineRule="auto"/>
      <w:jc w:val="both"/>
    </w:pPr>
    <w:rPr>
      <w:rFonts w:eastAsia="Times New Roman" w:cs="Deutsche Bank Text"/>
      <w:noProof/>
      <w:color w:val="0018A8"/>
      <w:sz w:val="28"/>
      <w:szCs w:val="24"/>
      <w:lang w:val="en-US"/>
    </w:rPr>
  </w:style>
  <w:style w:type="character" w:customStyle="1" w:styleId="berschrift1Zchn">
    <w:name w:val="Überschrift 1 Zchn"/>
    <w:aliases w:val="headline 1 Zchn,Body Text 1 Zchn"/>
    <w:basedOn w:val="Absatz-Standardschriftart"/>
    <w:link w:val="berschrift1"/>
    <w:uiPriority w:val="9"/>
    <w:rsid w:val="001E61E8"/>
    <w:rPr>
      <w:rFonts w:eastAsiaTheme="majorEastAsia" w:cstheme="majorBidi"/>
      <w:color w:val="0018A8" w:themeColor="accent1"/>
      <w:sz w:val="24"/>
      <w:szCs w:val="32"/>
      <w:lang w:val="en-GB"/>
    </w:rPr>
  </w:style>
  <w:style w:type="paragraph" w:customStyle="1" w:styleId="DocumentCategory">
    <w:name w:val="Document Category"/>
    <w:basedOn w:val="Standard"/>
    <w:next w:val="Standard"/>
    <w:rsid w:val="00A008AA"/>
    <w:pPr>
      <w:autoSpaceDE w:val="0"/>
      <w:autoSpaceDN w:val="0"/>
      <w:adjustRightInd w:val="0"/>
      <w:spacing w:before="1800" w:line="240" w:lineRule="auto"/>
    </w:pPr>
    <w:rPr>
      <w:rFonts w:eastAsia="Times New Roman" w:cstheme="minorHAnsi"/>
      <w:color w:val="DBF4F9"/>
      <w:sz w:val="36"/>
      <w:szCs w:val="36"/>
    </w:rPr>
  </w:style>
  <w:style w:type="character" w:customStyle="1" w:styleId="berschrift2Zchn">
    <w:name w:val="Überschrift 2 Zchn"/>
    <w:aliases w:val="headline 2 Zchn"/>
    <w:basedOn w:val="Absatz-Standardschriftart"/>
    <w:link w:val="berschrift2"/>
    <w:rsid w:val="006537E5"/>
    <w:rPr>
      <w:rFonts w:eastAsiaTheme="majorEastAsia" w:cstheme="majorBidi"/>
      <w:color w:val="0018A8"/>
      <w:sz w:val="24"/>
      <w:szCs w:val="26"/>
      <w:lang w:val="en-GB"/>
    </w:rPr>
  </w:style>
  <w:style w:type="character" w:customStyle="1" w:styleId="berschrift3Zchn">
    <w:name w:val="Überschrift 3 Zchn"/>
    <w:aliases w:val="headline 3 Zchn"/>
    <w:basedOn w:val="Absatz-Standardschriftart"/>
    <w:link w:val="berschrift3"/>
    <w:uiPriority w:val="9"/>
    <w:rsid w:val="00E55D19"/>
    <w:rPr>
      <w:rFonts w:eastAsiaTheme="majorEastAsia" w:cstheme="majorBidi"/>
      <w:color w:val="0018A8"/>
      <w:sz w:val="24"/>
      <w:szCs w:val="24"/>
      <w:lang w:val="en-GB"/>
    </w:rPr>
  </w:style>
  <w:style w:type="character" w:customStyle="1" w:styleId="berschrift4Zchn">
    <w:name w:val="Überschrift 4 Zchn"/>
    <w:basedOn w:val="Absatz-Standardschriftart"/>
    <w:link w:val="berschrift4"/>
    <w:uiPriority w:val="9"/>
    <w:rsid w:val="001E61E8"/>
    <w:rPr>
      <w:iCs/>
      <w:color w:val="0018A8" w:themeColor="accent1"/>
      <w:lang w:val="en-GB"/>
    </w:rPr>
  </w:style>
  <w:style w:type="paragraph" w:customStyle="1" w:styleId="DocumentTitle">
    <w:name w:val="Document Title"/>
    <w:basedOn w:val="Standard"/>
    <w:next w:val="Standard"/>
    <w:rsid w:val="00602186"/>
    <w:pPr>
      <w:spacing w:before="0" w:after="0" w:line="240" w:lineRule="auto"/>
    </w:pPr>
    <w:rPr>
      <w:rFonts w:ascii="Deutsche Bank Display" w:eastAsia="Times New Roman" w:hAnsi="Deutsche Bank Display" w:cstheme="majorHAnsi"/>
      <w:bCs/>
      <w:color w:val="FFFFFF" w:themeColor="background1"/>
      <w:sz w:val="60"/>
      <w:szCs w:val="60"/>
      <w:lang w:eastAsia="de-DE"/>
    </w:rPr>
  </w:style>
  <w:style w:type="character" w:styleId="Hervorhebung">
    <w:name w:val="Emphasis"/>
    <w:basedOn w:val="Absatz-Standardschriftart"/>
    <w:uiPriority w:val="20"/>
    <w:qFormat/>
    <w:rsid w:val="008A1146"/>
    <w:rPr>
      <w:i/>
      <w:iCs/>
    </w:rPr>
  </w:style>
  <w:style w:type="character" w:styleId="Platzhaltertext">
    <w:name w:val="Placeholder Text"/>
    <w:basedOn w:val="Absatz-Standardschriftart"/>
    <w:uiPriority w:val="99"/>
    <w:semiHidden/>
    <w:locked/>
    <w:rsid w:val="000F1A56"/>
    <w:rPr>
      <w:color w:val="808080"/>
    </w:rPr>
  </w:style>
  <w:style w:type="character" w:styleId="IntensiveHervorhebung">
    <w:name w:val="Intense Emphasis"/>
    <w:basedOn w:val="Absatz-Standardschriftart"/>
    <w:uiPriority w:val="21"/>
    <w:qFormat/>
    <w:rsid w:val="00835439"/>
    <w:rPr>
      <w:i/>
      <w:iCs/>
      <w:color w:val="33B9E6"/>
    </w:rPr>
  </w:style>
  <w:style w:type="paragraph" w:styleId="berarbeitung">
    <w:name w:val="Revision"/>
    <w:hidden/>
    <w:uiPriority w:val="99"/>
    <w:semiHidden/>
    <w:rsid w:val="00063EFF"/>
    <w:pPr>
      <w:spacing w:after="0" w:line="240" w:lineRule="auto"/>
    </w:pPr>
  </w:style>
  <w:style w:type="paragraph" w:styleId="KeinLeerraum">
    <w:name w:val="No Spacing"/>
    <w:basedOn w:val="Standard"/>
    <w:uiPriority w:val="1"/>
    <w:rsid w:val="005744B7"/>
    <w:pPr>
      <w:spacing w:after="0" w:line="240" w:lineRule="auto"/>
    </w:pPr>
  </w:style>
  <w:style w:type="paragraph" w:customStyle="1" w:styleId="Glossary">
    <w:name w:val="Glossary"/>
    <w:basedOn w:val="Standard"/>
    <w:qFormat/>
    <w:rsid w:val="00EB4663"/>
    <w:pPr>
      <w:keepLines/>
      <w:tabs>
        <w:tab w:val="left" w:pos="357"/>
      </w:tabs>
      <w:spacing w:before="60" w:after="60" w:line="240" w:lineRule="auto"/>
    </w:pPr>
    <w:rPr>
      <w:rFonts w:eastAsia="Times New Roman" w:cs="Deutsche Bank Text"/>
      <w:sz w:val="18"/>
      <w:szCs w:val="18"/>
    </w:rPr>
  </w:style>
  <w:style w:type="paragraph" w:customStyle="1" w:styleId="Annex">
    <w:name w:val="Annex"/>
    <w:basedOn w:val="berschrift2"/>
    <w:next w:val="Standard"/>
    <w:link w:val="AnnexChar"/>
    <w:qFormat/>
    <w:rsid w:val="00D5723C"/>
    <w:pPr>
      <w:keepLines w:val="0"/>
      <w:numPr>
        <w:ilvl w:val="0"/>
        <w:numId w:val="7"/>
      </w:numPr>
      <w:tabs>
        <w:tab w:val="left" w:pos="567"/>
      </w:tabs>
      <w:autoSpaceDE w:val="0"/>
      <w:autoSpaceDN w:val="0"/>
      <w:adjustRightInd w:val="0"/>
      <w:spacing w:before="120" w:line="240" w:lineRule="auto"/>
      <w:ind w:left="1559" w:hanging="1559"/>
    </w:pPr>
    <w:rPr>
      <w:rFonts w:eastAsia="Times New Roman" w:cs="Deutsche Bank Text"/>
      <w:color w:val="0038E0"/>
      <w:szCs w:val="24"/>
      <w14:textFill>
        <w14:solidFill>
          <w14:srgbClr w14:val="0038E0">
            <w14:lumMod w14:val="75000"/>
            <w14:lumMod w14:val="75000"/>
            <w14:lumOff w14:val="25000"/>
            <w14:lumMod w14:val="50000"/>
            <w14:lumOff w14:val="50000"/>
          </w14:srgbClr>
        </w14:solidFill>
      </w14:textFill>
    </w:rPr>
  </w:style>
  <w:style w:type="character" w:customStyle="1" w:styleId="AnnexChar">
    <w:name w:val="Annex Char"/>
    <w:basedOn w:val="Absatz-Standardschriftart"/>
    <w:link w:val="Annex"/>
    <w:rsid w:val="00D5723C"/>
    <w:rPr>
      <w:rFonts w:eastAsia="Times New Roman" w:cs="Deutsche Bank Text"/>
      <w:color w:val="0038E0"/>
      <w:sz w:val="24"/>
      <w:szCs w:val="24"/>
      <w:lang w:val="en-GB"/>
      <w14:textFill>
        <w14:solidFill>
          <w14:srgbClr w14:val="0038E0">
            <w14:lumMod w14:val="75000"/>
            <w14:lumMod w14:val="75000"/>
            <w14:lumOff w14:val="25000"/>
            <w14:lumMod w14:val="50000"/>
            <w14:lumOff w14:val="50000"/>
          </w14:srgbClr>
        </w14:solidFill>
      </w14:textFill>
    </w:rPr>
  </w:style>
  <w:style w:type="table" w:styleId="Tabellenraster">
    <w:name w:val="Table Grid"/>
    <w:aliases w:val="ITSG Standard Table"/>
    <w:basedOn w:val="NormaleTabelle"/>
    <w:rsid w:val="0073369E"/>
    <w:pPr>
      <w:spacing w:before="60" w:after="6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style>
  <w:style w:type="table" w:customStyle="1" w:styleId="Glossarytable">
    <w:name w:val="Glossary table"/>
    <w:basedOn w:val="NormaleTabelle"/>
    <w:uiPriority w:val="99"/>
    <w:rsid w:val="00ED7B2F"/>
    <w:pPr>
      <w:spacing w:before="60" w:after="60" w:line="240" w:lineRule="auto"/>
    </w:pPr>
    <w:rPr>
      <w:sz w:val="18"/>
    </w:rPr>
    <w:tblPr>
      <w:tblBorders>
        <w:top w:val="single" w:sz="4" w:space="0" w:color="auto"/>
        <w:bottom w:val="single" w:sz="4" w:space="0" w:color="auto"/>
        <w:insideH w:val="single" w:sz="4" w:space="0" w:color="auto"/>
      </w:tblBorders>
      <w:tblCellMar>
        <w:top w:w="28" w:type="dxa"/>
        <w:left w:w="57" w:type="dxa"/>
        <w:bottom w:w="28" w:type="dxa"/>
        <w:right w:w="57" w:type="dxa"/>
      </w:tblCellMar>
    </w:tblPr>
    <w:trPr>
      <w:cantSplit/>
    </w:trPr>
    <w:tcPr>
      <w:shd w:val="clear" w:color="auto" w:fill="auto"/>
    </w:tcPr>
    <w:tblStylePr w:type="firstRow">
      <w:tblPr/>
      <w:tcPr>
        <w:shd w:val="clear" w:color="auto" w:fill="D9D9D9" w:themeFill="background1" w:themeFillShade="D9"/>
      </w:tcPr>
    </w:tblStylePr>
  </w:style>
  <w:style w:type="paragraph" w:styleId="Zitat">
    <w:name w:val="Quote"/>
    <w:basedOn w:val="Standard"/>
    <w:next w:val="Standard"/>
    <w:link w:val="ZitatZchn"/>
    <w:uiPriority w:val="29"/>
    <w:rsid w:val="00C42404"/>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42404"/>
    <w:rPr>
      <w:rFonts w:ascii="Deutsche Bank Text" w:hAnsi="Deutsche Bank Text"/>
      <w:i/>
      <w:iCs/>
      <w:color w:val="404040" w:themeColor="text1" w:themeTint="BF"/>
      <w:sz w:val="20"/>
      <w:lang w:val="en-GB"/>
    </w:rPr>
  </w:style>
  <w:style w:type="paragraph" w:styleId="Funotentext">
    <w:name w:val="footnote text"/>
    <w:basedOn w:val="Standard"/>
    <w:link w:val="FunotentextZchn"/>
    <w:locked/>
    <w:rsid w:val="007B52ED"/>
    <w:pPr>
      <w:spacing w:before="0" w:after="0" w:line="240" w:lineRule="auto"/>
    </w:pPr>
    <w:rPr>
      <w:rFonts w:eastAsia="Times New Roman" w:cs="Times New Roman"/>
      <w:color w:val="62687C"/>
      <w:sz w:val="16"/>
    </w:rPr>
  </w:style>
  <w:style w:type="character" w:customStyle="1" w:styleId="FunotentextZchn">
    <w:name w:val="Fußnotentext Zchn"/>
    <w:basedOn w:val="Absatz-Standardschriftart"/>
    <w:link w:val="Funotentext"/>
    <w:rsid w:val="007B52ED"/>
    <w:rPr>
      <w:rFonts w:eastAsia="Times New Roman" w:cs="Times New Roman"/>
      <w:color w:val="62687C"/>
      <w:sz w:val="16"/>
    </w:rPr>
  </w:style>
  <w:style w:type="character" w:styleId="Funotenzeichen">
    <w:name w:val="footnote reference"/>
    <w:basedOn w:val="Absatz-Standardschriftart"/>
    <w:locked/>
    <w:rsid w:val="00613A12"/>
    <w:rPr>
      <w:vertAlign w:val="superscript"/>
    </w:rPr>
  </w:style>
  <w:style w:type="paragraph" w:styleId="IntensivesZitat">
    <w:name w:val="Intense Quote"/>
    <w:basedOn w:val="Standard"/>
    <w:next w:val="Standard"/>
    <w:link w:val="IntensivesZitatZchn"/>
    <w:uiPriority w:val="30"/>
    <w:rsid w:val="00362FF7"/>
    <w:pPr>
      <w:pBdr>
        <w:top w:val="single" w:sz="4" w:space="10" w:color="0018A8" w:themeColor="accent1"/>
        <w:bottom w:val="single" w:sz="4" w:space="10" w:color="0018A8" w:themeColor="accent1"/>
      </w:pBdr>
      <w:spacing w:before="360" w:after="360"/>
      <w:ind w:left="864" w:right="864"/>
      <w:jc w:val="center"/>
    </w:pPr>
    <w:rPr>
      <w:i/>
      <w:iCs/>
      <w:color w:val="0018A8" w:themeColor="accent1"/>
    </w:rPr>
  </w:style>
  <w:style w:type="character" w:customStyle="1" w:styleId="IntensivesZitatZchn">
    <w:name w:val="Intensives Zitat Zchn"/>
    <w:basedOn w:val="Absatz-Standardschriftart"/>
    <w:link w:val="IntensivesZitat"/>
    <w:uiPriority w:val="30"/>
    <w:rsid w:val="00362FF7"/>
    <w:rPr>
      <w:rFonts w:ascii="Deutsche Bank Text" w:hAnsi="Deutsche Bank Text"/>
      <w:i/>
      <w:iCs/>
      <w:color w:val="0018A8" w:themeColor="accent1"/>
      <w:sz w:val="20"/>
    </w:rPr>
  </w:style>
  <w:style w:type="character" w:styleId="IntensiverVerweis">
    <w:name w:val="Intense Reference"/>
    <w:basedOn w:val="Absatz-Standardschriftart"/>
    <w:uiPriority w:val="32"/>
    <w:rsid w:val="004728F9"/>
    <w:rPr>
      <w:b/>
      <w:bCs/>
      <w:smallCaps/>
      <w:color w:val="0018A8" w:themeColor="accent1"/>
      <w:spacing w:val="5"/>
    </w:rPr>
  </w:style>
  <w:style w:type="paragraph" w:styleId="Untertitel">
    <w:name w:val="Subtitle"/>
    <w:basedOn w:val="Standard"/>
    <w:next w:val="Standard"/>
    <w:link w:val="UntertitelZchn"/>
    <w:uiPriority w:val="11"/>
    <w:rsid w:val="00A00C7A"/>
    <w:pPr>
      <w:numPr>
        <w:ilvl w:val="1"/>
      </w:numPr>
      <w:spacing w:after="160"/>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rsid w:val="00A00C7A"/>
    <w:rPr>
      <w:rFonts w:eastAsiaTheme="minorEastAsia"/>
      <w:color w:val="5A5A5A" w:themeColor="text1" w:themeTint="A5"/>
      <w:spacing w:val="15"/>
    </w:rPr>
  </w:style>
  <w:style w:type="paragraph" w:customStyle="1" w:styleId="KeyDataIntense">
    <w:name w:val="Key Data Intense"/>
    <w:basedOn w:val="Standard"/>
    <w:rsid w:val="007D3EEB"/>
    <w:rPr>
      <w:color w:val="0018A8"/>
    </w:rPr>
  </w:style>
  <w:style w:type="table" w:customStyle="1" w:styleId="KeyDataTable">
    <w:name w:val="Key Data Table"/>
    <w:basedOn w:val="NormaleTabelle"/>
    <w:rsid w:val="008923D7"/>
    <w:pPr>
      <w:suppressAutoHyphens/>
      <w:spacing w:before="60" w:after="60"/>
    </w:pPr>
    <w:rPr>
      <w:sz w:val="18"/>
    </w:rPr>
    <w:tblPr>
      <w:tblBorders>
        <w:top w:val="single" w:sz="4" w:space="0" w:color="auto"/>
        <w:bottom w:val="single" w:sz="4" w:space="0" w:color="auto"/>
        <w:insideH w:val="single" w:sz="4" w:space="0" w:color="auto"/>
      </w:tblBorders>
      <w:tblCellMar>
        <w:top w:w="28" w:type="dxa"/>
        <w:left w:w="57" w:type="dxa"/>
        <w:bottom w:w="28" w:type="dxa"/>
        <w:right w:w="57" w:type="dxa"/>
      </w:tblCellMar>
    </w:tblPr>
    <w:tcPr>
      <w:shd w:val="clear" w:color="auto" w:fill="auto"/>
      <w:vAlign w:val="center"/>
    </w:tcPr>
    <w:tblStylePr w:type="firstRow">
      <w:rPr>
        <w:rFonts w:ascii="Deutsche Bank Text" w:hAnsi="Deutsche Bank Text"/>
        <w:sz w:val="18"/>
      </w:rPr>
    </w:tblStylePr>
    <w:tblStylePr w:type="firstCol">
      <w:rPr>
        <w:rFonts w:ascii="Deutsche Bank Text" w:hAnsi="Deutsche Bank Text"/>
        <w:color w:val="0018A8" w:themeColor="accent1"/>
        <w:sz w:val="18"/>
      </w:rPr>
    </w:tblStylePr>
  </w:style>
  <w:style w:type="paragraph" w:styleId="Inhaltsverzeichnisberschrift">
    <w:name w:val="TOC Heading"/>
    <w:basedOn w:val="berschrift1"/>
    <w:next w:val="Standard"/>
    <w:uiPriority w:val="39"/>
    <w:unhideWhenUsed/>
    <w:locked/>
    <w:rsid w:val="00A005AA"/>
    <w:pPr>
      <w:numPr>
        <w:numId w:val="0"/>
      </w:numPr>
      <w:spacing w:before="240" w:after="0" w:line="240" w:lineRule="auto"/>
      <w:outlineLvl w:val="9"/>
    </w:pPr>
    <w:rPr>
      <w:rFonts w:ascii="Deutsche Bank Display" w:hAnsi="Deutsche Bank Display"/>
    </w:rPr>
  </w:style>
  <w:style w:type="paragraph" w:styleId="Verzeichnis1">
    <w:name w:val="toc 1"/>
    <w:basedOn w:val="Standard"/>
    <w:next w:val="Standard"/>
    <w:autoRedefine/>
    <w:uiPriority w:val="39"/>
    <w:unhideWhenUsed/>
    <w:locked/>
    <w:rsid w:val="003D6565"/>
    <w:pPr>
      <w:tabs>
        <w:tab w:val="right" w:leader="dot" w:pos="9060"/>
      </w:tabs>
      <w:spacing w:before="60" w:after="60"/>
      <w:ind w:left="425" w:hanging="425"/>
    </w:pPr>
  </w:style>
  <w:style w:type="paragraph" w:styleId="Verzeichnis2">
    <w:name w:val="toc 2"/>
    <w:basedOn w:val="Standard"/>
    <w:next w:val="Standard"/>
    <w:autoRedefine/>
    <w:uiPriority w:val="39"/>
    <w:unhideWhenUsed/>
    <w:locked/>
    <w:rsid w:val="002117DB"/>
    <w:pPr>
      <w:tabs>
        <w:tab w:val="left" w:pos="1540"/>
        <w:tab w:val="right" w:leader="dot" w:pos="9060"/>
      </w:tabs>
      <w:spacing w:before="0" w:after="60"/>
      <w:ind w:left="1163" w:hanging="709"/>
    </w:pPr>
  </w:style>
  <w:style w:type="paragraph" w:styleId="Verzeichnis3">
    <w:name w:val="toc 3"/>
    <w:basedOn w:val="Standard"/>
    <w:next w:val="Standard"/>
    <w:autoRedefine/>
    <w:uiPriority w:val="39"/>
    <w:unhideWhenUsed/>
    <w:locked/>
    <w:rsid w:val="00EA7FA5"/>
    <w:pPr>
      <w:spacing w:before="0" w:after="0"/>
      <w:ind w:left="1163" w:hanging="709"/>
    </w:pPr>
  </w:style>
  <w:style w:type="character" w:styleId="Hyperlink">
    <w:name w:val="Hyperlink"/>
    <w:basedOn w:val="Absatz-Standardschriftart"/>
    <w:uiPriority w:val="99"/>
    <w:unhideWhenUsed/>
    <w:locked/>
    <w:rsid w:val="00505DFF"/>
    <w:rPr>
      <w:color w:val="0B243A" w:themeColor="hyperlink"/>
      <w:u w:val="single"/>
    </w:rPr>
  </w:style>
  <w:style w:type="paragraph" w:customStyle="1" w:styleId="BulletList">
    <w:name w:val="Bullet List"/>
    <w:basedOn w:val="Standard"/>
    <w:qFormat/>
    <w:rsid w:val="00A966CC"/>
    <w:pPr>
      <w:numPr>
        <w:numId w:val="5"/>
      </w:numPr>
      <w:spacing w:before="60" w:after="60"/>
    </w:pPr>
    <w:rPr>
      <w:rFonts w:eastAsia="Times New Roman" w:cs="Times New Roman"/>
    </w:rPr>
  </w:style>
  <w:style w:type="paragraph" w:styleId="Listenabsatz">
    <w:name w:val="List Paragraph"/>
    <w:aliases w:val="Numbered List,List Paragraph Main,List first level"/>
    <w:basedOn w:val="Standard"/>
    <w:link w:val="ListenabsatzZchn"/>
    <w:uiPriority w:val="34"/>
    <w:qFormat/>
    <w:rsid w:val="008E69E3"/>
    <w:pPr>
      <w:numPr>
        <w:numId w:val="6"/>
      </w:numPr>
      <w:spacing w:before="60" w:after="60"/>
    </w:pPr>
  </w:style>
  <w:style w:type="paragraph" w:styleId="Beschriftung">
    <w:name w:val="caption"/>
    <w:basedOn w:val="Standard"/>
    <w:next w:val="Standard"/>
    <w:uiPriority w:val="35"/>
    <w:unhideWhenUsed/>
    <w:locked/>
    <w:rsid w:val="00FE48AB"/>
    <w:pPr>
      <w:spacing w:before="0" w:after="200" w:line="240" w:lineRule="auto"/>
    </w:pPr>
    <w:rPr>
      <w:i/>
      <w:iCs/>
      <w:color w:val="425563"/>
      <w:sz w:val="16"/>
      <w:szCs w:val="18"/>
    </w:rPr>
  </w:style>
  <w:style w:type="table" w:styleId="TabellemithellemGitternetz">
    <w:name w:val="Grid Table Light"/>
    <w:basedOn w:val="NormaleTabelle"/>
    <w:uiPriority w:val="40"/>
    <w:rsid w:val="00A055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5dunkel">
    <w:name w:val="Grid Table 5 Dark"/>
    <w:basedOn w:val="NormaleTabelle"/>
    <w:uiPriority w:val="50"/>
    <w:rsid w:val="00B85C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RGV-berschrift">
    <w:name w:val="toa heading"/>
    <w:basedOn w:val="Standard"/>
    <w:next w:val="Standard"/>
    <w:uiPriority w:val="99"/>
    <w:unhideWhenUsed/>
    <w:locked/>
    <w:rsid w:val="004C54E8"/>
    <w:rPr>
      <w:rFonts w:asciiTheme="majorHAnsi" w:eastAsiaTheme="majorEastAsia" w:hAnsiTheme="majorHAnsi" w:cstheme="majorBidi"/>
      <w:b/>
      <w:bCs/>
      <w:sz w:val="24"/>
      <w:szCs w:val="24"/>
    </w:rPr>
  </w:style>
  <w:style w:type="paragraph" w:styleId="Fu-Endnotenberschrift">
    <w:name w:val="Note Heading"/>
    <w:basedOn w:val="Standard"/>
    <w:next w:val="Standard"/>
    <w:link w:val="Fu-EndnotenberschriftZchn"/>
    <w:uiPriority w:val="99"/>
    <w:unhideWhenUsed/>
    <w:locked/>
    <w:rsid w:val="00A13984"/>
    <w:pPr>
      <w:spacing w:before="0" w:after="0" w:line="240" w:lineRule="auto"/>
    </w:pPr>
  </w:style>
  <w:style w:type="character" w:customStyle="1" w:styleId="Fu-EndnotenberschriftZchn">
    <w:name w:val="Fuß/-Endnotenüberschrift Zchn"/>
    <w:basedOn w:val="Absatz-Standardschriftart"/>
    <w:link w:val="Fu-Endnotenberschrift"/>
    <w:uiPriority w:val="99"/>
    <w:rsid w:val="00A13984"/>
  </w:style>
  <w:style w:type="character" w:styleId="NichtaufgelsteErwhnung">
    <w:name w:val="Unresolved Mention"/>
    <w:basedOn w:val="Absatz-Standardschriftart"/>
    <w:uiPriority w:val="99"/>
    <w:unhideWhenUsed/>
    <w:locked/>
    <w:rsid w:val="0036345B"/>
    <w:rPr>
      <w:color w:val="605E5C"/>
      <w:shd w:val="clear" w:color="auto" w:fill="E1DFDD"/>
    </w:rPr>
  </w:style>
  <w:style w:type="character" w:customStyle="1" w:styleId="berschrift5Zchn">
    <w:name w:val="Überschrift 5 Zchn"/>
    <w:basedOn w:val="Absatz-Standardschriftart"/>
    <w:link w:val="berschrift5"/>
    <w:uiPriority w:val="9"/>
    <w:semiHidden/>
    <w:rsid w:val="000206D8"/>
    <w:rPr>
      <w:rFonts w:eastAsiaTheme="majorEastAsia" w:cstheme="majorBidi"/>
      <w:iCs/>
      <w:color w:val="0018A8" w:themeColor="accent1"/>
      <w:lang w:val="en-GB"/>
    </w:rPr>
  </w:style>
  <w:style w:type="paragraph" w:customStyle="1" w:styleId="copytext">
    <w:name w:val="copy text"/>
    <w:basedOn w:val="Standard"/>
    <w:rsid w:val="00D85450"/>
    <w:pPr>
      <w:framePr w:wrap="around" w:vAnchor="text" w:hAnchor="text" w:y="1"/>
      <w:autoSpaceDE w:val="0"/>
      <w:autoSpaceDN w:val="0"/>
      <w:adjustRightInd w:val="0"/>
      <w:spacing w:before="240" w:after="240"/>
    </w:pPr>
    <w:rPr>
      <w:rFonts w:ascii="Tahoma" w:eastAsia="Times New Roman" w:hAnsi="Tahoma" w:cs="Arial"/>
      <w:bCs/>
      <w:sz w:val="22"/>
      <w:szCs w:val="21"/>
      <w:lang w:val="en-US" w:eastAsia="de-DE"/>
    </w:rPr>
  </w:style>
  <w:style w:type="character" w:styleId="Kommentarzeichen">
    <w:name w:val="annotation reference"/>
    <w:basedOn w:val="Absatz-Standardschriftart"/>
    <w:uiPriority w:val="99"/>
    <w:semiHidden/>
    <w:unhideWhenUsed/>
    <w:locked/>
    <w:rsid w:val="006602B4"/>
    <w:rPr>
      <w:sz w:val="16"/>
      <w:szCs w:val="16"/>
    </w:rPr>
  </w:style>
  <w:style w:type="paragraph" w:styleId="Kommentartext">
    <w:name w:val="annotation text"/>
    <w:basedOn w:val="Standard"/>
    <w:link w:val="KommentartextZchn"/>
    <w:uiPriority w:val="99"/>
    <w:unhideWhenUsed/>
    <w:locked/>
    <w:rsid w:val="006602B4"/>
    <w:pPr>
      <w:spacing w:line="240" w:lineRule="auto"/>
    </w:pPr>
  </w:style>
  <w:style w:type="character" w:customStyle="1" w:styleId="KommentartextZchn">
    <w:name w:val="Kommentartext Zchn"/>
    <w:basedOn w:val="Absatz-Standardschriftart"/>
    <w:link w:val="Kommentartext"/>
    <w:uiPriority w:val="99"/>
    <w:rsid w:val="006602B4"/>
    <w:rPr>
      <w:lang w:val="en-GB"/>
    </w:rPr>
  </w:style>
  <w:style w:type="paragraph" w:styleId="Kommentarthema">
    <w:name w:val="annotation subject"/>
    <w:basedOn w:val="Kommentartext"/>
    <w:next w:val="Kommentartext"/>
    <w:link w:val="KommentarthemaZchn"/>
    <w:uiPriority w:val="99"/>
    <w:semiHidden/>
    <w:unhideWhenUsed/>
    <w:locked/>
    <w:rsid w:val="006602B4"/>
    <w:rPr>
      <w:b/>
      <w:bCs/>
    </w:rPr>
  </w:style>
  <w:style w:type="character" w:customStyle="1" w:styleId="KommentarthemaZchn">
    <w:name w:val="Kommentarthema Zchn"/>
    <w:basedOn w:val="KommentartextZchn"/>
    <w:link w:val="Kommentarthema"/>
    <w:uiPriority w:val="99"/>
    <w:semiHidden/>
    <w:rsid w:val="006602B4"/>
    <w:rPr>
      <w:b/>
      <w:bCs/>
      <w:lang w:val="en-GB"/>
    </w:rPr>
  </w:style>
  <w:style w:type="paragraph" w:styleId="Verzeichnis9">
    <w:name w:val="toc 9"/>
    <w:basedOn w:val="Standard"/>
    <w:next w:val="Standard"/>
    <w:autoRedefine/>
    <w:uiPriority w:val="39"/>
    <w:unhideWhenUsed/>
    <w:locked/>
    <w:rsid w:val="00D5723C"/>
    <w:pPr>
      <w:tabs>
        <w:tab w:val="left" w:pos="1418"/>
        <w:tab w:val="right" w:leader="dot" w:pos="9061"/>
      </w:tabs>
      <w:ind w:left="1418" w:hanging="1418"/>
    </w:pPr>
    <w:rPr>
      <w:noProof/>
    </w:rPr>
  </w:style>
  <w:style w:type="character" w:styleId="BesuchterLink">
    <w:name w:val="FollowedHyperlink"/>
    <w:basedOn w:val="Absatz-Standardschriftart"/>
    <w:uiPriority w:val="99"/>
    <w:semiHidden/>
    <w:unhideWhenUsed/>
    <w:locked/>
    <w:rsid w:val="0032072B"/>
    <w:rPr>
      <w:color w:val="62687C" w:themeColor="followedHyperlink"/>
      <w:u w:val="single"/>
    </w:rPr>
  </w:style>
  <w:style w:type="paragraph" w:styleId="z-Formularbeginn">
    <w:name w:val="HTML Top of Form"/>
    <w:basedOn w:val="Standard"/>
    <w:next w:val="Standard"/>
    <w:link w:val="z-FormularbeginnZchn"/>
    <w:hidden/>
    <w:uiPriority w:val="99"/>
    <w:semiHidden/>
    <w:unhideWhenUsed/>
    <w:rsid w:val="001940A6"/>
    <w:pPr>
      <w:pBdr>
        <w:bottom w:val="single" w:sz="6" w:space="1" w:color="auto"/>
      </w:pBdr>
      <w:spacing w:before="0" w:after="0"/>
      <w:jc w:val="center"/>
    </w:pPr>
    <w:rPr>
      <w:rFonts w:ascii="Arial" w:hAnsi="Arial" w:cs="Arial"/>
      <w:vanish/>
      <w:sz w:val="16"/>
      <w:szCs w:val="16"/>
    </w:rPr>
  </w:style>
  <w:style w:type="character" w:customStyle="1" w:styleId="z-FormularbeginnZchn">
    <w:name w:val="z-Formularbeginn Zchn"/>
    <w:basedOn w:val="Absatz-Standardschriftart"/>
    <w:link w:val="z-Formularbeginn"/>
    <w:uiPriority w:val="99"/>
    <w:semiHidden/>
    <w:rsid w:val="001940A6"/>
    <w:rPr>
      <w:rFonts w:ascii="Arial" w:hAnsi="Arial" w:cs="Arial"/>
      <w:vanish/>
      <w:sz w:val="16"/>
      <w:szCs w:val="16"/>
      <w:lang w:val="en-GB"/>
    </w:rPr>
  </w:style>
  <w:style w:type="paragraph" w:styleId="z-Formularende">
    <w:name w:val="HTML Bottom of Form"/>
    <w:basedOn w:val="Standard"/>
    <w:next w:val="Standard"/>
    <w:link w:val="z-FormularendeZchn"/>
    <w:hidden/>
    <w:uiPriority w:val="99"/>
    <w:semiHidden/>
    <w:unhideWhenUsed/>
    <w:rsid w:val="001940A6"/>
    <w:pPr>
      <w:pBdr>
        <w:top w:val="single" w:sz="6" w:space="1" w:color="auto"/>
      </w:pBdr>
      <w:spacing w:before="0" w:after="0"/>
      <w:jc w:val="center"/>
    </w:pPr>
    <w:rPr>
      <w:rFonts w:ascii="Arial" w:hAnsi="Arial" w:cs="Arial"/>
      <w:vanish/>
      <w:sz w:val="16"/>
      <w:szCs w:val="16"/>
    </w:rPr>
  </w:style>
  <w:style w:type="character" w:customStyle="1" w:styleId="z-FormularendeZchn">
    <w:name w:val="z-Formularende Zchn"/>
    <w:basedOn w:val="Absatz-Standardschriftart"/>
    <w:link w:val="z-Formularende"/>
    <w:uiPriority w:val="99"/>
    <w:semiHidden/>
    <w:rsid w:val="001940A6"/>
    <w:rPr>
      <w:rFonts w:ascii="Arial" w:hAnsi="Arial" w:cs="Arial"/>
      <w:vanish/>
      <w:sz w:val="16"/>
      <w:szCs w:val="16"/>
      <w:lang w:val="en-GB"/>
    </w:rPr>
  </w:style>
  <w:style w:type="table" w:styleId="EinfacheTabelle2">
    <w:name w:val="Plain Table 2"/>
    <w:aliases w:val="Key Data Page"/>
    <w:basedOn w:val="NormaleTabelle"/>
    <w:uiPriority w:val="42"/>
    <w:rsid w:val="00D76198"/>
    <w:pPr>
      <w:spacing w:after="0" w:line="240" w:lineRule="auto"/>
    </w:pPr>
    <w:rPr>
      <w:sz w:val="18"/>
    </w:rPr>
    <w:tblPr>
      <w:tblStyleRowBandSize w:val="1"/>
      <w:tblStyleColBandSize w:val="1"/>
      <w:tblBorders>
        <w:top w:val="single" w:sz="4" w:space="0" w:color="auto"/>
        <w:bottom w:val="single" w:sz="4" w:space="0" w:color="auto"/>
      </w:tblBorders>
    </w:tblPr>
    <w:tblStylePr w:type="firstRow">
      <w:rPr>
        <w:rFonts w:ascii="Deutsche Bank Text" w:hAnsi="Deutsche Bank Text"/>
        <w:b w:val="0"/>
        <w:bCs/>
        <w:sz w:val="18"/>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B45F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itternetztabelle1hell">
    <w:name w:val="Grid Table 1 Light"/>
    <w:basedOn w:val="NormaleTabelle"/>
    <w:uiPriority w:val="46"/>
    <w:rsid w:val="008B45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enabsatzZchn">
    <w:name w:val="Listenabsatz Zchn"/>
    <w:aliases w:val="Numbered List Zchn,List Paragraph Main Zchn,List first level Zchn"/>
    <w:basedOn w:val="Absatz-Standardschriftart"/>
    <w:link w:val="Listenabsatz"/>
    <w:uiPriority w:val="34"/>
    <w:rsid w:val="00C750D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3693">
      <w:bodyDiv w:val="1"/>
      <w:marLeft w:val="0"/>
      <w:marRight w:val="0"/>
      <w:marTop w:val="0"/>
      <w:marBottom w:val="0"/>
      <w:divBdr>
        <w:top w:val="none" w:sz="0" w:space="0" w:color="auto"/>
        <w:left w:val="none" w:sz="0" w:space="0" w:color="auto"/>
        <w:bottom w:val="none" w:sz="0" w:space="0" w:color="auto"/>
        <w:right w:val="none" w:sz="0" w:space="0" w:color="auto"/>
      </w:divBdr>
    </w:div>
    <w:div w:id="384723890">
      <w:bodyDiv w:val="1"/>
      <w:marLeft w:val="0"/>
      <w:marRight w:val="0"/>
      <w:marTop w:val="0"/>
      <w:marBottom w:val="0"/>
      <w:divBdr>
        <w:top w:val="none" w:sz="0" w:space="0" w:color="auto"/>
        <w:left w:val="none" w:sz="0" w:space="0" w:color="auto"/>
        <w:bottom w:val="none" w:sz="0" w:space="0" w:color="auto"/>
        <w:right w:val="none" w:sz="0" w:space="0" w:color="auto"/>
      </w:divBdr>
    </w:div>
    <w:div w:id="516234681">
      <w:bodyDiv w:val="1"/>
      <w:marLeft w:val="0"/>
      <w:marRight w:val="0"/>
      <w:marTop w:val="0"/>
      <w:marBottom w:val="0"/>
      <w:divBdr>
        <w:top w:val="none" w:sz="0" w:space="0" w:color="auto"/>
        <w:left w:val="none" w:sz="0" w:space="0" w:color="auto"/>
        <w:bottom w:val="none" w:sz="0" w:space="0" w:color="auto"/>
        <w:right w:val="none" w:sz="0" w:space="0" w:color="auto"/>
      </w:divBdr>
    </w:div>
    <w:div w:id="121126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F2E111ABD445949712357803FA9170"/>
        <w:category>
          <w:name w:val="General"/>
          <w:gallery w:val="placeholder"/>
        </w:category>
        <w:types>
          <w:type w:val="bbPlcHdr"/>
        </w:types>
        <w:behaviors>
          <w:behavior w:val="content"/>
        </w:behaviors>
        <w:guid w:val="{20505CAC-EF0C-4BCE-BFC9-2DF4742EAE6E}"/>
      </w:docPartPr>
      <w:docPartBody>
        <w:p w:rsidR="002642D1" w:rsidRDefault="00237131" w:rsidP="00237131">
          <w:pPr>
            <w:pStyle w:val="84F2E111ABD445949712357803FA9170"/>
          </w:pPr>
          <w:r w:rsidRPr="0050569A">
            <w:rPr>
              <w:rStyle w:val="Platzhalt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utsche Bank Text">
    <w:panose1 w:val="020B0503020202030204"/>
    <w:charset w:val="00"/>
    <w:family w:val="swiss"/>
    <w:pitch w:val="variable"/>
    <w:sig w:usb0="A000006F" w:usb1="0000006B" w:usb2="00000028"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utsche Bank Display">
    <w:panose1 w:val="020F0403020203030304"/>
    <w:charset w:val="00"/>
    <w:family w:val="swiss"/>
    <w:pitch w:val="variable"/>
    <w:sig w:usb0="A000006F" w:usb1="0000006B" w:usb2="00000028"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131"/>
    <w:rsid w:val="000445C3"/>
    <w:rsid w:val="001C0889"/>
    <w:rsid w:val="0022360D"/>
    <w:rsid w:val="00237131"/>
    <w:rsid w:val="002642D1"/>
    <w:rsid w:val="003647A7"/>
    <w:rsid w:val="007375BD"/>
    <w:rsid w:val="00B86B0F"/>
    <w:rsid w:val="00B91C2B"/>
    <w:rsid w:val="00BF50B9"/>
    <w:rsid w:val="00EB0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37131"/>
    <w:rPr>
      <w:color w:val="808080"/>
    </w:rPr>
  </w:style>
  <w:style w:type="paragraph" w:customStyle="1" w:styleId="84F2E111ABD445949712357803FA9170">
    <w:name w:val="84F2E111ABD445949712357803FA9170"/>
    <w:rsid w:val="002371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B Policy Template">
      <a:dk1>
        <a:srgbClr val="000000"/>
      </a:dk1>
      <a:lt1>
        <a:srgbClr val="FFFFFF"/>
      </a:lt1>
      <a:dk2>
        <a:srgbClr val="0C2340"/>
      </a:dk2>
      <a:lt2>
        <a:srgbClr val="BDC0D2"/>
      </a:lt2>
      <a:accent1>
        <a:srgbClr val="0018A8"/>
      </a:accent1>
      <a:accent2>
        <a:srgbClr val="0C2340"/>
      </a:accent2>
      <a:accent3>
        <a:srgbClr val="00A8E0"/>
      </a:accent3>
      <a:accent4>
        <a:srgbClr val="4AC9E3"/>
      </a:accent4>
      <a:accent5>
        <a:srgbClr val="5B9BD5"/>
      </a:accent5>
      <a:accent6>
        <a:srgbClr val="B7B09C"/>
      </a:accent6>
      <a:hlink>
        <a:srgbClr val="0B243A"/>
      </a:hlink>
      <a:folHlink>
        <a:srgbClr val="62687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The purpose of this Document in up to two sentences. It must contain a concise description of what the document seeks to achieve, ensuring that that such description makes clear to which individuals the document is to apply.</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81d000a-7f1e-494a-895f-a83bd7b1e289">
      <Terms xmlns="http://schemas.microsoft.com/office/infopath/2007/PartnerControls"/>
    </lcf76f155ced4ddcb4097134ff3c332f>
    <TaxCatchAll xmlns="a31fefd6-978c-4300-9ea1-09d31710d4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3196A874D01049B1A03260E77D8D3A" ma:contentTypeVersion="15" ma:contentTypeDescription="Create a new document." ma:contentTypeScope="" ma:versionID="3972dae19902d425b42bea8c58bfce6e">
  <xsd:schema xmlns:xsd="http://www.w3.org/2001/XMLSchema" xmlns:xs="http://www.w3.org/2001/XMLSchema" xmlns:p="http://schemas.microsoft.com/office/2006/metadata/properties" xmlns:ns1="http://schemas.microsoft.com/sharepoint/v3" xmlns:ns2="d81d000a-7f1e-494a-895f-a83bd7b1e289" xmlns:ns3="a31fefd6-978c-4300-9ea1-09d31710d4c6" targetNamespace="http://schemas.microsoft.com/office/2006/metadata/properties" ma:root="true" ma:fieldsID="4321df32cf4b7b6f235a7c4fc2b3b612" ns1:_="" ns2:_="" ns3:_="">
    <xsd:import namespace="http://schemas.microsoft.com/sharepoint/v3"/>
    <xsd:import namespace="d81d000a-7f1e-494a-895f-a83bd7b1e289"/>
    <xsd:import namespace="a31fefd6-978c-4300-9ea1-09d31710d4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1:_ip_UnifiedCompliancePolicyProperties" minOccurs="0"/>
                <xsd:element ref="ns1:_ip_UnifiedCompliancePolicyUIActio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1d000a-7f1e-494a-895f-a83bd7b1e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fc7666e-d55c-42e6-98c7-52deeb412a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fefd6-978c-4300-9ea1-09d31710d4c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94edd86-cdce-4e1a-8deb-61ec6acdb099}" ma:internalName="TaxCatchAll" ma:showField="CatchAllData" ma:web="a31fefd6-978c-4300-9ea1-09d31710d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9842C1-6F33-416F-B0C9-B190A0D11358}">
  <ds:schemaRefs>
    <ds:schemaRef ds:uri="http://schemas.microsoft.com/sharepoint/v3/contenttype/forms"/>
  </ds:schemaRefs>
</ds:datastoreItem>
</file>

<file path=customXml/itemProps3.xml><?xml version="1.0" encoding="utf-8"?>
<ds:datastoreItem xmlns:ds="http://schemas.openxmlformats.org/officeDocument/2006/customXml" ds:itemID="{1C066491-2A55-473D-90B2-0818B5C4E0F3}">
  <ds:schemaRefs>
    <ds:schemaRef ds:uri="http://schemas.microsoft.com/office/2006/metadata/properties"/>
    <ds:schemaRef ds:uri="http://schemas.microsoft.com/office/infopath/2007/PartnerControls"/>
    <ds:schemaRef ds:uri="http://schemas.microsoft.com/sharepoint/v3"/>
    <ds:schemaRef ds:uri="d81d000a-7f1e-494a-895f-a83bd7b1e289"/>
    <ds:schemaRef ds:uri="a31fefd6-978c-4300-9ea1-09d31710d4c6"/>
  </ds:schemaRefs>
</ds:datastoreItem>
</file>

<file path=customXml/itemProps4.xml><?xml version="1.0" encoding="utf-8"?>
<ds:datastoreItem xmlns:ds="http://schemas.openxmlformats.org/officeDocument/2006/customXml" ds:itemID="{18E4895A-59F0-421A-AA1C-4AE8634E9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1d000a-7f1e-494a-895f-a83bd7b1e289"/>
    <ds:schemaRef ds:uri="a31fefd6-978c-4300-9ea1-09d31710d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EEC326-35E2-47C7-B44A-AABBB6A7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1954</Words>
  <Characters>10612</Characters>
  <Application>Microsoft Office Word</Application>
  <DocSecurity>0</DocSecurity>
  <Lines>182</Lines>
  <Paragraphs>101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Capital Markets Allocation Policy – Investment and Corporate Bank – EMEA (incl. UKI and Germany) and APAC</vt:lpstr>
      <vt:lpstr>[Subject Matter] [Policy/Procedure/Key Operating Document] – [functional/geographic/legal entity applicability]</vt:lpstr>
    </vt:vector>
  </TitlesOfParts>
  <Company>Deutsche Bank AG</Company>
  <LinksUpToDate>false</LinksUpToDate>
  <CharactersWithSpaces>12465</CharactersWithSpaces>
  <SharedDoc>false</SharedDoc>
  <HLinks>
    <vt:vector size="60" baseType="variant">
      <vt:variant>
        <vt:i4>1310771</vt:i4>
      </vt:variant>
      <vt:variant>
        <vt:i4>68</vt:i4>
      </vt:variant>
      <vt:variant>
        <vt:i4>0</vt:i4>
      </vt:variant>
      <vt:variant>
        <vt:i4>5</vt:i4>
      </vt:variant>
      <vt:variant>
        <vt:lpwstr/>
      </vt:variant>
      <vt:variant>
        <vt:lpwstr>_Toc106024671</vt:lpwstr>
      </vt:variant>
      <vt:variant>
        <vt:i4>1114167</vt:i4>
      </vt:variant>
      <vt:variant>
        <vt:i4>50</vt:i4>
      </vt:variant>
      <vt:variant>
        <vt:i4>0</vt:i4>
      </vt:variant>
      <vt:variant>
        <vt:i4>5</vt:i4>
      </vt:variant>
      <vt:variant>
        <vt:lpwstr/>
      </vt:variant>
      <vt:variant>
        <vt:lpwstr>_Toc106026200</vt:lpwstr>
      </vt:variant>
      <vt:variant>
        <vt:i4>1572916</vt:i4>
      </vt:variant>
      <vt:variant>
        <vt:i4>44</vt:i4>
      </vt:variant>
      <vt:variant>
        <vt:i4>0</vt:i4>
      </vt:variant>
      <vt:variant>
        <vt:i4>5</vt:i4>
      </vt:variant>
      <vt:variant>
        <vt:lpwstr/>
      </vt:variant>
      <vt:variant>
        <vt:lpwstr>_Toc106026199</vt:lpwstr>
      </vt:variant>
      <vt:variant>
        <vt:i4>1572916</vt:i4>
      </vt:variant>
      <vt:variant>
        <vt:i4>38</vt:i4>
      </vt:variant>
      <vt:variant>
        <vt:i4>0</vt:i4>
      </vt:variant>
      <vt:variant>
        <vt:i4>5</vt:i4>
      </vt:variant>
      <vt:variant>
        <vt:lpwstr/>
      </vt:variant>
      <vt:variant>
        <vt:lpwstr>_Toc106026198</vt:lpwstr>
      </vt:variant>
      <vt:variant>
        <vt:i4>1572916</vt:i4>
      </vt:variant>
      <vt:variant>
        <vt:i4>32</vt:i4>
      </vt:variant>
      <vt:variant>
        <vt:i4>0</vt:i4>
      </vt:variant>
      <vt:variant>
        <vt:i4>5</vt:i4>
      </vt:variant>
      <vt:variant>
        <vt:lpwstr/>
      </vt:variant>
      <vt:variant>
        <vt:lpwstr>_Toc106026197</vt:lpwstr>
      </vt:variant>
      <vt:variant>
        <vt:i4>1572916</vt:i4>
      </vt:variant>
      <vt:variant>
        <vt:i4>26</vt:i4>
      </vt:variant>
      <vt:variant>
        <vt:i4>0</vt:i4>
      </vt:variant>
      <vt:variant>
        <vt:i4>5</vt:i4>
      </vt:variant>
      <vt:variant>
        <vt:lpwstr/>
      </vt:variant>
      <vt:variant>
        <vt:lpwstr>_Toc106026196</vt:lpwstr>
      </vt:variant>
      <vt:variant>
        <vt:i4>1572916</vt:i4>
      </vt:variant>
      <vt:variant>
        <vt:i4>20</vt:i4>
      </vt:variant>
      <vt:variant>
        <vt:i4>0</vt:i4>
      </vt:variant>
      <vt:variant>
        <vt:i4>5</vt:i4>
      </vt:variant>
      <vt:variant>
        <vt:lpwstr/>
      </vt:variant>
      <vt:variant>
        <vt:lpwstr>_Toc106026195</vt:lpwstr>
      </vt:variant>
      <vt:variant>
        <vt:i4>1572916</vt:i4>
      </vt:variant>
      <vt:variant>
        <vt:i4>14</vt:i4>
      </vt:variant>
      <vt:variant>
        <vt:i4>0</vt:i4>
      </vt:variant>
      <vt:variant>
        <vt:i4>5</vt:i4>
      </vt:variant>
      <vt:variant>
        <vt:lpwstr/>
      </vt:variant>
      <vt:variant>
        <vt:lpwstr>_Toc106026194</vt:lpwstr>
      </vt:variant>
      <vt:variant>
        <vt:i4>1572916</vt:i4>
      </vt:variant>
      <vt:variant>
        <vt:i4>8</vt:i4>
      </vt:variant>
      <vt:variant>
        <vt:i4>0</vt:i4>
      </vt:variant>
      <vt:variant>
        <vt:i4>5</vt:i4>
      </vt:variant>
      <vt:variant>
        <vt:lpwstr/>
      </vt:variant>
      <vt:variant>
        <vt:lpwstr>_Toc106026193</vt:lpwstr>
      </vt:variant>
      <vt:variant>
        <vt:i4>1572916</vt:i4>
      </vt:variant>
      <vt:variant>
        <vt:i4>2</vt:i4>
      </vt:variant>
      <vt:variant>
        <vt:i4>0</vt:i4>
      </vt:variant>
      <vt:variant>
        <vt:i4>5</vt:i4>
      </vt:variant>
      <vt:variant>
        <vt:lpwstr/>
      </vt:variant>
      <vt:variant>
        <vt:lpwstr>_Toc106026192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Markets Allocation Policy – Investment and Corporate Bank – EMEA (incl. UKI and Germany) and APAC</dc:title>
  <dc:subject>This policy sets out the processes undertaken by Deutsche Bank (the Bank) for the marketing and allocation of capital markets transactions.</dc:subject>
  <dc:creator>Policy Governance Group</dc:creator>
  <cp:keywords>Public</cp:keywords>
  <dc:description/>
  <cp:lastModifiedBy>Jacques Regnier</cp:lastModifiedBy>
  <cp:revision>4</cp:revision>
  <cp:lastPrinted>2025-12-12T17:32:00Z</cp:lastPrinted>
  <dcterms:created xsi:type="dcterms:W3CDTF">2025-12-12T17:32:00Z</dcterms:created>
  <dcterms:modified xsi:type="dcterms:W3CDTF">2025-12-12T17:33:00Z</dcterms:modified>
  <cp:category>[Group Policy/Group Procedure/Non-Group Policy/Non-Group Procedure/Key Operating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0x0101009D3196A874D01049B1A03260E77D8D3A</vt:lpwstr>
  </property>
  <property fmtid="{D5CDD505-2E9C-101B-9397-08002B2CF9AE}" pid="3" name="Version">
    <vt:lpwstr>3.01</vt:lpwstr>
  </property>
  <property fmtid="{D5CDD505-2E9C-101B-9397-08002B2CF9AE}" pid="4" name="Template author">
    <vt:lpwstr>Thomas &amp; Marc (CSO)</vt:lpwstr>
  </property>
  <property fmtid="{D5CDD505-2E9C-101B-9397-08002B2CF9AE}" pid="5" name="Offisync_ProviderInitializationData">
    <vt:lpwstr>https://mydb.intranet.db.com</vt:lpwstr>
  </property>
  <property fmtid="{D5CDD505-2E9C-101B-9397-08002B2CF9AE}" pid="6" name="Jive_LatestUserAccountName">
    <vt:lpwstr>2688499</vt:lpwstr>
  </property>
  <property fmtid="{D5CDD505-2E9C-101B-9397-08002B2CF9AE}" pid="7" name="Offisync_ServerID">
    <vt:lpwstr>e7ea66f9-79eb-4b5e-b4bf-ad8e6072be1e</vt:lpwstr>
  </property>
  <property fmtid="{D5CDD505-2E9C-101B-9397-08002B2CF9AE}" pid="8" name="Jive_VersionGuid">
    <vt:lpwstr>f8b9e4b2-f1e9-4b4f-b59d-6da55ff32470</vt:lpwstr>
  </property>
  <property fmtid="{D5CDD505-2E9C-101B-9397-08002B2CF9AE}" pid="9" name="Offisync_UpdateToken">
    <vt:lpwstr>6</vt:lpwstr>
  </property>
  <property fmtid="{D5CDD505-2E9C-101B-9397-08002B2CF9AE}" pid="10" name="Offisync_UniqueId">
    <vt:lpwstr>683834</vt:lpwstr>
  </property>
  <property fmtid="{D5CDD505-2E9C-101B-9397-08002B2CF9AE}" pid="11" name="MSIP_Label_af1741f6-9e47-426e-a683-937c37d4ebc5_Enabled">
    <vt:lpwstr>true</vt:lpwstr>
  </property>
  <property fmtid="{D5CDD505-2E9C-101B-9397-08002B2CF9AE}" pid="12" name="MSIP_Label_af1741f6-9e47-426e-a683-937c37d4ebc5_SetDate">
    <vt:lpwstr>2023-11-30T17:23:54Z</vt:lpwstr>
  </property>
  <property fmtid="{D5CDD505-2E9C-101B-9397-08002B2CF9AE}" pid="13" name="MSIP_Label_af1741f6-9e47-426e-a683-937c37d4ebc5_Method">
    <vt:lpwstr>Privileged</vt:lpwstr>
  </property>
  <property fmtid="{D5CDD505-2E9C-101B-9397-08002B2CF9AE}" pid="14" name="MSIP_Label_af1741f6-9e47-426e-a683-937c37d4ebc5_Name">
    <vt:lpwstr>af1741f6-9e47-426e-a683-937c37d4ebc5</vt:lpwstr>
  </property>
  <property fmtid="{D5CDD505-2E9C-101B-9397-08002B2CF9AE}" pid="15" name="MSIP_Label_af1741f6-9e47-426e-a683-937c37d4ebc5_SiteId">
    <vt:lpwstr>1e9b61e8-e590-4abc-b1af-24125e330d2a</vt:lpwstr>
  </property>
  <property fmtid="{D5CDD505-2E9C-101B-9397-08002B2CF9AE}" pid="16" name="MSIP_Label_af1741f6-9e47-426e-a683-937c37d4ebc5_ActionId">
    <vt:lpwstr>13ed8582-62fa-47f8-a6ea-944c0d28dc96</vt:lpwstr>
  </property>
  <property fmtid="{D5CDD505-2E9C-101B-9397-08002B2CF9AE}" pid="17" name="MSIP_Label_af1741f6-9e47-426e-a683-937c37d4ebc5_ContentBits">
    <vt:lpwstr>3</vt:lpwstr>
  </property>
  <property fmtid="{D5CDD505-2E9C-101B-9397-08002B2CF9AE}" pid="18" name="db.comClassification">
    <vt:lpwstr>For internal use only</vt:lpwstr>
  </property>
  <property fmtid="{D5CDD505-2E9C-101B-9397-08002B2CF9AE}" pid="19" name="MediaServiceImageTags">
    <vt:lpwstr/>
  </property>
  <property fmtid="{D5CDD505-2E9C-101B-9397-08002B2CF9AE}" pid="20" name="docLang">
    <vt:lpwstr>en</vt:lpwstr>
  </property>
</Properties>
</file>