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E84F" w14:textId="37C4DF63" w:rsidR="00E02435" w:rsidRDefault="00384525">
      <w:pPr>
        <w:pStyle w:val="BodyText"/>
        <w:rPr>
          <w:rFonts w:ascii="Times New Roman"/>
          <w:sz w:val="36"/>
        </w:rPr>
      </w:pPr>
      <w:r>
        <w:rPr>
          <w:noProof/>
        </w:rPr>
        <mc:AlternateContent>
          <mc:Choice Requires="wps">
            <w:drawing>
              <wp:anchor distT="0" distB="0" distL="0" distR="0" simplePos="0" relativeHeight="15728640" behindDoc="0" locked="0" layoutInCell="1" allowOverlap="1" wp14:anchorId="48B8A801" wp14:editId="6DE3F329">
                <wp:simplePos x="0" y="0"/>
                <wp:positionH relativeFrom="page">
                  <wp:posOffset>6409054</wp:posOffset>
                </wp:positionH>
                <wp:positionV relativeFrom="page">
                  <wp:posOffset>288289</wp:posOffset>
                </wp:positionV>
                <wp:extent cx="575945" cy="5759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575945"/>
                        </a:xfrm>
                        <a:custGeom>
                          <a:avLst/>
                          <a:gdLst/>
                          <a:ahLst/>
                          <a:cxnLst/>
                          <a:rect l="l" t="t" r="r" b="b"/>
                          <a:pathLst>
                            <a:path w="575945" h="575945">
                              <a:moveTo>
                                <a:pt x="575945" y="0"/>
                              </a:moveTo>
                              <a:lnTo>
                                <a:pt x="0" y="0"/>
                              </a:lnTo>
                              <a:lnTo>
                                <a:pt x="0" y="575945"/>
                              </a:lnTo>
                              <a:lnTo>
                                <a:pt x="575945" y="575945"/>
                              </a:lnTo>
                              <a:lnTo>
                                <a:pt x="575945" y="495173"/>
                              </a:lnTo>
                              <a:lnTo>
                                <a:pt x="80645" y="495173"/>
                              </a:lnTo>
                              <a:lnTo>
                                <a:pt x="80645" y="80645"/>
                              </a:lnTo>
                              <a:lnTo>
                                <a:pt x="575945" y="80645"/>
                              </a:lnTo>
                              <a:lnTo>
                                <a:pt x="575945" y="0"/>
                              </a:lnTo>
                              <a:close/>
                            </a:path>
                            <a:path w="575945" h="575945">
                              <a:moveTo>
                                <a:pt x="575945" y="80645"/>
                              </a:moveTo>
                              <a:lnTo>
                                <a:pt x="494919" y="80645"/>
                              </a:lnTo>
                              <a:lnTo>
                                <a:pt x="494919" y="495173"/>
                              </a:lnTo>
                              <a:lnTo>
                                <a:pt x="575945" y="495173"/>
                              </a:lnTo>
                              <a:lnTo>
                                <a:pt x="575945" y="80645"/>
                              </a:lnTo>
                              <a:close/>
                            </a:path>
                            <a:path w="575945" h="575945">
                              <a:moveTo>
                                <a:pt x="449072" y="138175"/>
                              </a:moveTo>
                              <a:lnTo>
                                <a:pt x="345694" y="138175"/>
                              </a:lnTo>
                              <a:lnTo>
                                <a:pt x="126873" y="438023"/>
                              </a:lnTo>
                              <a:lnTo>
                                <a:pt x="230250" y="438023"/>
                              </a:lnTo>
                              <a:lnTo>
                                <a:pt x="449072" y="138175"/>
                              </a:lnTo>
                              <a:close/>
                            </a:path>
                          </a:pathLst>
                        </a:custGeom>
                        <a:solidFill>
                          <a:srgbClr val="0017A8"/>
                        </a:solidFill>
                      </wps:spPr>
                      <wps:bodyPr wrap="square" lIns="0" tIns="0" rIns="0" bIns="0" rtlCol="0">
                        <a:prstTxWarp prst="textNoShape">
                          <a:avLst/>
                        </a:prstTxWarp>
                        <a:noAutofit/>
                      </wps:bodyPr>
                    </wps:wsp>
                  </a:graphicData>
                </a:graphic>
              </wp:anchor>
            </w:drawing>
          </mc:Choice>
          <mc:Fallback>
            <w:pict>
              <v:shape w14:anchorId="467104DD" id="Graphic 6" o:spid="_x0000_s1026" style="position:absolute;margin-left:504.65pt;margin-top:22.7pt;width:45.35pt;height:45.35pt;z-index:15728640;visibility:visible;mso-wrap-style:square;mso-wrap-distance-left:0;mso-wrap-distance-top:0;mso-wrap-distance-right:0;mso-wrap-distance-bottom:0;mso-position-horizontal:absolute;mso-position-horizontal-relative:page;mso-position-vertical:absolute;mso-position-vertical-relative:page;v-text-anchor:top" coordsize="575945,57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" path="m575945,l,,,575945r575945,l575945,495173r-495300,l80645,80645r495300,l575945,xem575945,80645r-81026,l494919,495173r81026,l575945,80645xem449072,138175r-103378,l126873,438023r103377,l449072,138175xe" fillcolor="#0017a8" stroked="f">
                <v:path arrowok="t"/>
                <w10:wrap anchorx="page" anchory="page"/>
              </v:shape>
            </w:pict>
          </mc:Fallback>
        </mc:AlternateContent>
      </w:r>
    </w:p>
    <w:p w14:paraId="0DC2C764" w14:textId="77777777" w:rsidR="00E02435" w:rsidRDefault="00E02435">
      <w:pPr>
        <w:pStyle w:val="BodyText"/>
        <w:rPr>
          <w:rFonts w:ascii="Times New Roman"/>
          <w:sz w:val="36"/>
        </w:rPr>
      </w:pPr>
    </w:p>
    <w:p w14:paraId="0467ECA5" w14:textId="77777777" w:rsidR="00E02435" w:rsidRDefault="00E02435">
      <w:pPr>
        <w:pStyle w:val="BodyText"/>
        <w:rPr>
          <w:rFonts w:ascii="Times New Roman"/>
          <w:sz w:val="36"/>
        </w:rPr>
      </w:pPr>
    </w:p>
    <w:p w14:paraId="21EE3AF4" w14:textId="589320AE" w:rsidR="00E02435" w:rsidRDefault="001D5510">
      <w:pPr>
        <w:pStyle w:val="BodyText"/>
        <w:rPr>
          <w:rFonts w:ascii="Times New Roman"/>
          <w:sz w:val="36"/>
        </w:rPr>
      </w:pPr>
      <w:r>
        <w:rPr>
          <w:rFonts w:ascii="Times New Roman"/>
          <w:noProof/>
          <w:sz w:val="36"/>
        </w:rPr>
        <w:drawing>
          <wp:anchor distT="0" distB="0" distL="114300" distR="114300" simplePos="0" relativeHeight="487468032" behindDoc="1" locked="0" layoutInCell="1" allowOverlap="1" wp14:anchorId="1F598C27" wp14:editId="015B64CC">
            <wp:simplePos x="0" y="0"/>
            <wp:positionH relativeFrom="column">
              <wp:posOffset>-209993</wp:posOffset>
            </wp:positionH>
            <wp:positionV relativeFrom="paragraph">
              <wp:posOffset>75225</wp:posOffset>
            </wp:positionV>
            <wp:extent cx="6911340" cy="5691505"/>
            <wp:effectExtent l="0" t="0" r="3810" b="4445"/>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911340" cy="5691505"/>
                    </a:xfrm>
                    <a:prstGeom prst="rect">
                      <a:avLst/>
                    </a:prstGeom>
                  </pic:spPr>
                </pic:pic>
              </a:graphicData>
            </a:graphic>
          </wp:anchor>
        </w:drawing>
      </w:r>
    </w:p>
    <w:p w14:paraId="4B586148" w14:textId="77777777" w:rsidR="00E02435" w:rsidRDefault="00E02435">
      <w:pPr>
        <w:pStyle w:val="BodyText"/>
        <w:rPr>
          <w:rFonts w:ascii="Times New Roman"/>
          <w:sz w:val="36"/>
        </w:rPr>
      </w:pPr>
    </w:p>
    <w:p w14:paraId="1898DB4E" w14:textId="77777777" w:rsidR="00E02435" w:rsidRDefault="00E02435">
      <w:pPr>
        <w:pStyle w:val="BodyText"/>
        <w:spacing w:before="205"/>
        <w:rPr>
          <w:rFonts w:ascii="Times New Roman"/>
          <w:sz w:val="36"/>
        </w:rPr>
      </w:pPr>
    </w:p>
    <w:p w14:paraId="3B21F223" w14:textId="77777777" w:rsidR="00E02435" w:rsidRDefault="00384525">
      <w:pPr>
        <w:ind w:left="518"/>
        <w:rPr>
          <w:sz w:val="36"/>
        </w:rPr>
      </w:pPr>
      <w:r>
        <w:rPr>
          <w:color w:val="DBF4F8"/>
          <w:sz w:val="36"/>
        </w:rPr>
        <w:t>Nicht-Konzernweit</w:t>
      </w:r>
      <w:r>
        <w:rPr>
          <w:color w:val="DBF4F8"/>
          <w:spacing w:val="-5"/>
          <w:sz w:val="36"/>
        </w:rPr>
        <w:t xml:space="preserve"> </w:t>
      </w:r>
      <w:r>
        <w:rPr>
          <w:color w:val="DBF4F8"/>
          <w:sz w:val="36"/>
        </w:rPr>
        <w:t>geltende</w:t>
      </w:r>
      <w:r>
        <w:rPr>
          <w:color w:val="DBF4F8"/>
          <w:spacing w:val="-4"/>
          <w:sz w:val="36"/>
        </w:rPr>
        <w:t xml:space="preserve"> </w:t>
      </w:r>
      <w:r>
        <w:rPr>
          <w:color w:val="DBF4F8"/>
          <w:spacing w:val="-2"/>
          <w:sz w:val="36"/>
        </w:rPr>
        <w:t>Richtlinie</w:t>
      </w:r>
    </w:p>
    <w:p w14:paraId="20530867" w14:textId="0CD20B31" w:rsidR="00E02435" w:rsidRDefault="00384525">
      <w:pPr>
        <w:pStyle w:val="Title"/>
      </w:pPr>
      <w:r>
        <w:rPr>
          <w:noProof/>
        </w:rPr>
        <mc:AlternateContent>
          <mc:Choice Requires="wps">
            <w:drawing>
              <wp:anchor distT="0" distB="0" distL="0" distR="0" simplePos="0" relativeHeight="15729152" behindDoc="0" locked="0" layoutInCell="1" allowOverlap="1" wp14:anchorId="2110ED3B" wp14:editId="5CF45CA9">
                <wp:simplePos x="0" y="0"/>
                <wp:positionH relativeFrom="page">
                  <wp:posOffset>7128509</wp:posOffset>
                </wp:positionH>
                <wp:positionV relativeFrom="paragraph">
                  <wp:posOffset>3653106</wp:posOffset>
                </wp:positionV>
                <wp:extent cx="101600" cy="82676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826769"/>
                        </a:xfrm>
                        <a:prstGeom prst="rect">
                          <a:avLst/>
                        </a:prstGeom>
                      </wps:spPr>
                      <wps:txbx>
                        <w:txbxContent>
                          <w:p w14:paraId="1F6908E8" w14:textId="77777777" w:rsidR="00E02435" w:rsidRDefault="00384525">
                            <w:pPr>
                              <w:spacing w:line="139" w:lineRule="exact"/>
                              <w:ind w:left="20"/>
                              <w:rPr>
                                <w:sz w:val="12"/>
                              </w:rPr>
                            </w:pPr>
                            <w:r>
                              <w:rPr>
                                <w:color w:val="808080"/>
                                <w:sz w:val="12"/>
                              </w:rPr>
                              <w:t>Template</w:t>
                            </w:r>
                            <w:r>
                              <w:rPr>
                                <w:color w:val="808080"/>
                                <w:spacing w:val="-2"/>
                                <w:sz w:val="12"/>
                              </w:rPr>
                              <w:t xml:space="preserve"> </w:t>
                            </w:r>
                            <w:r>
                              <w:rPr>
                                <w:color w:val="808080"/>
                                <w:sz w:val="12"/>
                              </w:rPr>
                              <w:t>version:</w:t>
                            </w:r>
                            <w:r>
                              <w:rPr>
                                <w:color w:val="808080"/>
                                <w:spacing w:val="-1"/>
                                <w:sz w:val="12"/>
                              </w:rPr>
                              <w:t xml:space="preserve"> </w:t>
                            </w:r>
                            <w:r>
                              <w:rPr>
                                <w:color w:val="808080"/>
                                <w:spacing w:val="-4"/>
                                <w:sz w:val="12"/>
                              </w:rPr>
                              <w:t>V3.0</w:t>
                            </w:r>
                          </w:p>
                        </w:txbxContent>
                      </wps:txbx>
                      <wps:bodyPr vert="vert270" wrap="square" lIns="0" tIns="0" rIns="0" bIns="0" rtlCol="0">
                        <a:noAutofit/>
                      </wps:bodyPr>
                    </wps:wsp>
                  </a:graphicData>
                </a:graphic>
              </wp:anchor>
            </w:drawing>
          </mc:Choice>
          <mc:Fallback>
            <w:pict>
              <v:shapetype w14:anchorId="2110ED3B" id="_x0000_t202" coordsize="21600,21600" o:spt="202" path="m,l,21600r21600,l21600,xe">
                <v:stroke joinstyle="miter"/>
                <v:path gradientshapeok="t" o:connecttype="rect"/>
              </v:shapetype>
              <v:shape id="Textbox 7" o:spid="_x0000_s1026" type="#_x0000_t202" style="position:absolute;left:0;text-align:left;margin-left:561.3pt;margin-top:287.65pt;width:8pt;height:65.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" filled="f" stroked="f">
                <v:textbox style="layout-flow:vertical;mso-layout-flow-alt:bottom-to-top" inset="0,0,0,0">
                  <w:txbxContent>
                    <w:p w14:paraId="1F6908E8" w14:textId="77777777" w:rsidR="00E02435" w:rsidRDefault="00384525">
                      <w:pPr>
                        <w:spacing w:line="139" w:lineRule="exact"/>
                        <w:ind w:left="20"/>
                        <w:rPr>
                          <w:sz w:val="12"/>
                        </w:rPr>
                      </w:pPr>
                      <w:r>
                        <w:rPr>
                          <w:color w:val="808080"/>
                          <w:sz w:val="12"/>
                        </w:rPr>
                        <w:t>Template</w:t>
                      </w:r>
                      <w:r>
                        <w:rPr>
                          <w:color w:val="808080"/>
                          <w:spacing w:val="-2"/>
                          <w:sz w:val="12"/>
                        </w:rPr>
                        <w:t xml:space="preserve"> </w:t>
                      </w:r>
                      <w:r>
                        <w:rPr>
                          <w:color w:val="808080"/>
                          <w:sz w:val="12"/>
                        </w:rPr>
                        <w:t>version:</w:t>
                      </w:r>
                      <w:r>
                        <w:rPr>
                          <w:color w:val="808080"/>
                          <w:spacing w:val="-1"/>
                          <w:sz w:val="12"/>
                        </w:rPr>
                        <w:t xml:space="preserve"> </w:t>
                      </w:r>
                      <w:r>
                        <w:rPr>
                          <w:color w:val="808080"/>
                          <w:spacing w:val="-4"/>
                          <w:sz w:val="12"/>
                        </w:rPr>
                        <w:t>V3.0</w:t>
                      </w:r>
                    </w:p>
                  </w:txbxContent>
                </v:textbox>
                <w10:wrap anchorx="page"/>
              </v:shape>
            </w:pict>
          </mc:Fallback>
        </mc:AlternateContent>
      </w:r>
      <w:r>
        <w:rPr>
          <w:color w:val="FFFFFF"/>
        </w:rPr>
        <w:t>Richtlinien für die Zuteilung bei Kapitalmarktgeschäften</w:t>
      </w:r>
      <w:r>
        <w:rPr>
          <w:color w:val="FFFFFF"/>
          <w:spacing w:val="-16"/>
        </w:rPr>
        <w:t xml:space="preserve"> </w:t>
      </w:r>
      <w:r>
        <w:rPr>
          <w:color w:val="FFFFFF"/>
        </w:rPr>
        <w:t>–</w:t>
      </w:r>
      <w:r>
        <w:rPr>
          <w:color w:val="FFFFFF"/>
          <w:spacing w:val="-15"/>
        </w:rPr>
        <w:t xml:space="preserve"> </w:t>
      </w:r>
      <w:r>
        <w:rPr>
          <w:color w:val="FFFFFF"/>
        </w:rPr>
        <w:t>Invest- ment und Corporate Bank – EMEA (incl. UKI und Deutsch- land) und APAC</w:t>
      </w:r>
    </w:p>
    <w:p w14:paraId="2C76092C" w14:textId="77777777" w:rsidR="00E02435" w:rsidRDefault="00E02435">
      <w:pPr>
        <w:pStyle w:val="BodyText"/>
        <w:rPr>
          <w:rFonts w:ascii="Deutsche Bank Display"/>
        </w:rPr>
      </w:pPr>
    </w:p>
    <w:p w14:paraId="474AA7D6" w14:textId="77777777" w:rsidR="00E02435" w:rsidRDefault="00E02435">
      <w:pPr>
        <w:pStyle w:val="BodyText"/>
        <w:rPr>
          <w:rFonts w:ascii="Deutsche Bank Display"/>
        </w:rPr>
      </w:pPr>
    </w:p>
    <w:p w14:paraId="1615A831" w14:textId="77777777" w:rsidR="00E02435" w:rsidRDefault="00E02435">
      <w:pPr>
        <w:pStyle w:val="BodyText"/>
        <w:rPr>
          <w:rFonts w:ascii="Deutsche Bank Display"/>
        </w:rPr>
      </w:pPr>
    </w:p>
    <w:p w14:paraId="57E22568" w14:textId="77777777" w:rsidR="00E02435" w:rsidRDefault="00E02435">
      <w:pPr>
        <w:pStyle w:val="BodyText"/>
        <w:rPr>
          <w:rFonts w:ascii="Deutsche Bank Display"/>
        </w:rPr>
      </w:pPr>
    </w:p>
    <w:p w14:paraId="19C1FD2C" w14:textId="2C7C7263" w:rsidR="00E02435" w:rsidRDefault="00E02435">
      <w:pPr>
        <w:pStyle w:val="BodyText"/>
        <w:spacing w:before="49"/>
        <w:rPr>
          <w:rFonts w:ascii="Deutsche Bank Display"/>
        </w:rPr>
      </w:pPr>
    </w:p>
    <w:p w14:paraId="421A3429" w14:textId="77777777" w:rsidR="00E02435" w:rsidRDefault="00E02435">
      <w:pPr>
        <w:pStyle w:val="BodyText"/>
        <w:rPr>
          <w:rFonts w:ascii="Deutsche Bank Display"/>
          <w:sz w:val="16"/>
        </w:rPr>
      </w:pPr>
    </w:p>
    <w:p w14:paraId="024FE50F" w14:textId="77777777" w:rsidR="00E02435" w:rsidRDefault="00E02435">
      <w:pPr>
        <w:pStyle w:val="BodyText"/>
        <w:rPr>
          <w:rFonts w:ascii="Deutsche Bank Display"/>
          <w:sz w:val="16"/>
        </w:rPr>
      </w:pPr>
    </w:p>
    <w:p w14:paraId="4E1333F6" w14:textId="77777777" w:rsidR="00E02435" w:rsidRDefault="00E02435">
      <w:pPr>
        <w:pStyle w:val="BodyText"/>
        <w:rPr>
          <w:rFonts w:ascii="Deutsche Bank Display"/>
          <w:sz w:val="16"/>
        </w:rPr>
      </w:pPr>
    </w:p>
    <w:p w14:paraId="51BD3118" w14:textId="77777777" w:rsidR="00E02435" w:rsidRDefault="00E02435">
      <w:pPr>
        <w:pStyle w:val="BodyText"/>
        <w:rPr>
          <w:rFonts w:ascii="Deutsche Bank Display"/>
          <w:sz w:val="16"/>
        </w:rPr>
      </w:pPr>
    </w:p>
    <w:p w14:paraId="6211568F" w14:textId="77777777" w:rsidR="00E02435" w:rsidRDefault="00E02435">
      <w:pPr>
        <w:pStyle w:val="BodyText"/>
        <w:rPr>
          <w:rFonts w:ascii="Deutsche Bank Display"/>
          <w:sz w:val="16"/>
        </w:rPr>
      </w:pPr>
    </w:p>
    <w:p w14:paraId="4E329AEB" w14:textId="77777777" w:rsidR="00E02435" w:rsidRDefault="00E02435">
      <w:pPr>
        <w:pStyle w:val="BodyText"/>
        <w:rPr>
          <w:rFonts w:ascii="Deutsche Bank Display"/>
          <w:sz w:val="16"/>
        </w:rPr>
      </w:pPr>
    </w:p>
    <w:p w14:paraId="066E0397" w14:textId="77777777" w:rsidR="00E02435" w:rsidRDefault="00E02435">
      <w:pPr>
        <w:pStyle w:val="BodyText"/>
        <w:rPr>
          <w:rFonts w:ascii="Deutsche Bank Display"/>
          <w:sz w:val="16"/>
        </w:rPr>
      </w:pPr>
    </w:p>
    <w:p w14:paraId="458C5FA4" w14:textId="77777777" w:rsidR="00E02435" w:rsidRDefault="00E02435">
      <w:pPr>
        <w:pStyle w:val="BodyText"/>
        <w:rPr>
          <w:rFonts w:ascii="Deutsche Bank Display"/>
          <w:sz w:val="16"/>
        </w:rPr>
      </w:pPr>
    </w:p>
    <w:p w14:paraId="353E01BA" w14:textId="77777777" w:rsidR="00E02435" w:rsidRDefault="00E02435">
      <w:pPr>
        <w:pStyle w:val="BodyText"/>
        <w:rPr>
          <w:rFonts w:ascii="Deutsche Bank Display"/>
          <w:sz w:val="16"/>
        </w:rPr>
      </w:pPr>
    </w:p>
    <w:p w14:paraId="26D50CAC" w14:textId="77777777" w:rsidR="00E02435" w:rsidRDefault="00E02435">
      <w:pPr>
        <w:pStyle w:val="BodyText"/>
        <w:rPr>
          <w:rFonts w:ascii="Deutsche Bank Display"/>
          <w:sz w:val="16"/>
        </w:rPr>
      </w:pPr>
    </w:p>
    <w:p w14:paraId="5653DCA1" w14:textId="77777777" w:rsidR="00E02435" w:rsidRDefault="00E02435">
      <w:pPr>
        <w:pStyle w:val="BodyText"/>
        <w:rPr>
          <w:rFonts w:ascii="Deutsche Bank Display"/>
          <w:sz w:val="16"/>
        </w:rPr>
      </w:pPr>
    </w:p>
    <w:p w14:paraId="6A43E487" w14:textId="77777777" w:rsidR="00E02435" w:rsidRDefault="00E02435">
      <w:pPr>
        <w:pStyle w:val="BodyText"/>
        <w:rPr>
          <w:rFonts w:ascii="Deutsche Bank Display"/>
          <w:sz w:val="16"/>
        </w:rPr>
      </w:pPr>
    </w:p>
    <w:p w14:paraId="49A2F94B" w14:textId="77777777" w:rsidR="00E02435" w:rsidRDefault="00E02435">
      <w:pPr>
        <w:pStyle w:val="BodyText"/>
        <w:rPr>
          <w:rFonts w:ascii="Deutsche Bank Display"/>
          <w:sz w:val="16"/>
        </w:rPr>
      </w:pPr>
    </w:p>
    <w:p w14:paraId="0C427B74" w14:textId="77777777" w:rsidR="00E02435" w:rsidRDefault="00E02435">
      <w:pPr>
        <w:pStyle w:val="BodyText"/>
        <w:rPr>
          <w:rFonts w:ascii="Deutsche Bank Display"/>
          <w:sz w:val="16"/>
        </w:rPr>
      </w:pPr>
    </w:p>
    <w:p w14:paraId="6D86D65F" w14:textId="77777777" w:rsidR="00E02435" w:rsidRDefault="00E02435">
      <w:pPr>
        <w:pStyle w:val="BodyText"/>
        <w:rPr>
          <w:rFonts w:ascii="Deutsche Bank Display"/>
          <w:sz w:val="16"/>
        </w:rPr>
      </w:pPr>
    </w:p>
    <w:p w14:paraId="68DAF46B" w14:textId="77777777" w:rsidR="00E02435" w:rsidRDefault="00E02435">
      <w:pPr>
        <w:pStyle w:val="BodyText"/>
        <w:rPr>
          <w:rFonts w:ascii="Deutsche Bank Display"/>
          <w:sz w:val="16"/>
        </w:rPr>
      </w:pPr>
    </w:p>
    <w:p w14:paraId="32DF9B17" w14:textId="77777777" w:rsidR="00E02435" w:rsidRDefault="00E02435">
      <w:pPr>
        <w:pStyle w:val="BodyText"/>
        <w:rPr>
          <w:rFonts w:ascii="Deutsche Bank Display"/>
          <w:sz w:val="16"/>
        </w:rPr>
      </w:pPr>
    </w:p>
    <w:p w14:paraId="474DA29D" w14:textId="77777777" w:rsidR="00E02435" w:rsidRDefault="00E02435">
      <w:pPr>
        <w:pStyle w:val="BodyText"/>
        <w:rPr>
          <w:rFonts w:ascii="Deutsche Bank Display"/>
          <w:sz w:val="16"/>
        </w:rPr>
      </w:pPr>
    </w:p>
    <w:p w14:paraId="08643209" w14:textId="77777777" w:rsidR="00E02435" w:rsidRDefault="00E02435">
      <w:pPr>
        <w:pStyle w:val="BodyText"/>
        <w:rPr>
          <w:rFonts w:ascii="Deutsche Bank Display"/>
          <w:sz w:val="16"/>
        </w:rPr>
      </w:pPr>
    </w:p>
    <w:p w14:paraId="06E04450" w14:textId="77777777" w:rsidR="00E02435" w:rsidRDefault="00E02435">
      <w:pPr>
        <w:pStyle w:val="BodyText"/>
        <w:rPr>
          <w:rFonts w:ascii="Deutsche Bank Display"/>
          <w:sz w:val="16"/>
        </w:rPr>
      </w:pPr>
    </w:p>
    <w:p w14:paraId="64A957A6" w14:textId="77777777" w:rsidR="00E02435" w:rsidRDefault="00E02435">
      <w:pPr>
        <w:pStyle w:val="BodyText"/>
        <w:rPr>
          <w:rFonts w:ascii="Deutsche Bank Display"/>
          <w:sz w:val="16"/>
        </w:rPr>
      </w:pPr>
    </w:p>
    <w:p w14:paraId="4F946A0C" w14:textId="77777777" w:rsidR="00E02435" w:rsidRDefault="00E02435">
      <w:pPr>
        <w:pStyle w:val="BodyText"/>
        <w:spacing w:before="68"/>
        <w:rPr>
          <w:rFonts w:ascii="Deutsche Bank Display"/>
          <w:sz w:val="16"/>
        </w:rPr>
      </w:pPr>
    </w:p>
    <w:p w14:paraId="42801F6B" w14:textId="77777777" w:rsidR="00E02435" w:rsidRDefault="00E02435">
      <w:pPr>
        <w:rPr>
          <w:sz w:val="16"/>
        </w:rPr>
        <w:sectPr w:rsidR="00E02435">
          <w:headerReference w:type="default" r:id="rId8"/>
          <w:type w:val="continuous"/>
          <w:pgSz w:w="11910" w:h="16840"/>
          <w:pgMar w:top="900" w:right="700" w:bottom="280" w:left="900" w:header="625" w:footer="0" w:gutter="0"/>
          <w:pgNumType w:start="1"/>
          <w:cols w:space="720"/>
        </w:sectPr>
      </w:pPr>
    </w:p>
    <w:p w14:paraId="484235E5" w14:textId="77777777" w:rsidR="00E02435" w:rsidRDefault="00E02435">
      <w:pPr>
        <w:pStyle w:val="BodyText"/>
        <w:spacing w:before="203"/>
        <w:rPr>
          <w:sz w:val="24"/>
        </w:rPr>
      </w:pPr>
    </w:p>
    <w:p w14:paraId="2F1A6CDB" w14:textId="77777777" w:rsidR="00E02435" w:rsidRDefault="00384525">
      <w:pPr>
        <w:pStyle w:val="Heading1"/>
        <w:ind w:left="518" w:firstLine="0"/>
      </w:pPr>
      <w:r>
        <w:rPr>
          <w:color w:val="0017A8"/>
          <w:spacing w:val="-2"/>
        </w:rPr>
        <w:t>Inhaltsverzeichnis</w:t>
      </w:r>
    </w:p>
    <w:sdt>
      <w:sdtPr>
        <w:id w:val="-1484462547"/>
        <w:docPartObj>
          <w:docPartGallery w:val="Table of Contents"/>
          <w:docPartUnique/>
        </w:docPartObj>
      </w:sdtPr>
      <w:sdtEndPr/>
      <w:sdtContent>
        <w:p w14:paraId="23CEDF28" w14:textId="77777777" w:rsidR="00E02435" w:rsidRDefault="00E02435">
          <w:pPr>
            <w:pStyle w:val="TOC1"/>
            <w:numPr>
              <w:ilvl w:val="0"/>
              <w:numId w:val="3"/>
            </w:numPr>
            <w:tabs>
              <w:tab w:val="left" w:pos="943"/>
              <w:tab w:val="right" w:leader="dot" w:pos="9581"/>
            </w:tabs>
            <w:spacing w:before="60"/>
          </w:pPr>
          <w:hyperlink w:anchor="_bookmark0" w:history="1">
            <w:r>
              <w:rPr>
                <w:spacing w:val="-2"/>
              </w:rPr>
              <w:t>Geltungsbereich</w:t>
            </w:r>
            <w:r>
              <w:tab/>
            </w:r>
            <w:r>
              <w:rPr>
                <w:spacing w:val="-10"/>
              </w:rPr>
              <w:t>3</w:t>
            </w:r>
          </w:hyperlink>
        </w:p>
        <w:p w14:paraId="5253D3F4" w14:textId="77777777" w:rsidR="00E02435" w:rsidRDefault="00E02435">
          <w:pPr>
            <w:pStyle w:val="TOC1"/>
            <w:numPr>
              <w:ilvl w:val="0"/>
              <w:numId w:val="3"/>
            </w:numPr>
            <w:tabs>
              <w:tab w:val="left" w:pos="943"/>
              <w:tab w:val="right" w:leader="dot" w:pos="9581"/>
            </w:tabs>
            <w:spacing w:before="74"/>
          </w:pPr>
          <w:hyperlink w:anchor="_bookmark1" w:history="1">
            <w:r>
              <w:t>Ziele</w:t>
            </w:r>
            <w:r>
              <w:rPr>
                <w:spacing w:val="-4"/>
              </w:rPr>
              <w:t xml:space="preserve"> </w:t>
            </w:r>
            <w:r>
              <w:t>und</w:t>
            </w:r>
            <w:r>
              <w:rPr>
                <w:spacing w:val="-3"/>
              </w:rPr>
              <w:t xml:space="preserve"> </w:t>
            </w:r>
            <w:r>
              <w:rPr>
                <w:spacing w:val="-2"/>
              </w:rPr>
              <w:t>Anwendbarkeit</w:t>
            </w:r>
            <w:r>
              <w:tab/>
            </w:r>
            <w:r>
              <w:rPr>
                <w:spacing w:val="-10"/>
              </w:rPr>
              <w:t>3</w:t>
            </w:r>
          </w:hyperlink>
        </w:p>
        <w:p w14:paraId="74F709FC" w14:textId="77777777" w:rsidR="00E02435" w:rsidRDefault="00E02435">
          <w:pPr>
            <w:pStyle w:val="TOC2"/>
            <w:numPr>
              <w:ilvl w:val="1"/>
              <w:numId w:val="3"/>
            </w:numPr>
            <w:tabs>
              <w:tab w:val="left" w:pos="1682"/>
              <w:tab w:val="right" w:leader="dot" w:pos="9580"/>
            </w:tabs>
            <w:spacing w:before="73"/>
            <w:ind w:hanging="710"/>
          </w:pPr>
          <w:hyperlink w:anchor="_bookmark2" w:history="1">
            <w:r>
              <w:rPr>
                <w:spacing w:val="-4"/>
              </w:rPr>
              <w:t>Ziele</w:t>
            </w:r>
            <w:r>
              <w:tab/>
            </w:r>
            <w:r>
              <w:rPr>
                <w:spacing w:val="-10"/>
              </w:rPr>
              <w:t>3</w:t>
            </w:r>
          </w:hyperlink>
        </w:p>
        <w:p w14:paraId="4446FA4A" w14:textId="77777777" w:rsidR="00E02435" w:rsidRDefault="00E02435">
          <w:pPr>
            <w:pStyle w:val="TOC2"/>
            <w:numPr>
              <w:ilvl w:val="1"/>
              <w:numId w:val="3"/>
            </w:numPr>
            <w:tabs>
              <w:tab w:val="left" w:pos="1682"/>
              <w:tab w:val="right" w:leader="dot" w:pos="9580"/>
            </w:tabs>
            <w:spacing w:before="74"/>
            <w:ind w:hanging="710"/>
          </w:pPr>
          <w:hyperlink w:anchor="_bookmark3" w:history="1">
            <w:r>
              <w:rPr>
                <w:spacing w:val="-2"/>
              </w:rPr>
              <w:t>Anwendbarkeit</w:t>
            </w:r>
            <w:r>
              <w:tab/>
            </w:r>
            <w:r>
              <w:rPr>
                <w:spacing w:val="-12"/>
              </w:rPr>
              <w:t>3</w:t>
            </w:r>
          </w:hyperlink>
        </w:p>
        <w:p w14:paraId="71FCB887" w14:textId="77777777" w:rsidR="00E02435" w:rsidRDefault="00E02435">
          <w:pPr>
            <w:pStyle w:val="TOC1"/>
            <w:numPr>
              <w:ilvl w:val="0"/>
              <w:numId w:val="3"/>
            </w:numPr>
            <w:tabs>
              <w:tab w:val="left" w:pos="943"/>
              <w:tab w:val="right" w:leader="dot" w:pos="9581"/>
            </w:tabs>
          </w:pPr>
          <w:hyperlink w:anchor="_bookmark4" w:history="1">
            <w:r>
              <w:t>Investorenauswahl</w:t>
            </w:r>
            <w:r>
              <w:rPr>
                <w:spacing w:val="-8"/>
              </w:rPr>
              <w:t xml:space="preserve"> </w:t>
            </w:r>
            <w:r>
              <w:t>für</w:t>
            </w:r>
            <w:r>
              <w:rPr>
                <w:spacing w:val="-7"/>
              </w:rPr>
              <w:t xml:space="preserve"> </w:t>
            </w:r>
            <w:r>
              <w:t>Vermarktung</w:t>
            </w:r>
            <w:r>
              <w:rPr>
                <w:spacing w:val="-7"/>
              </w:rPr>
              <w:t xml:space="preserve"> </w:t>
            </w:r>
            <w:r>
              <w:t>und</w:t>
            </w:r>
            <w:r>
              <w:rPr>
                <w:spacing w:val="-6"/>
              </w:rPr>
              <w:t xml:space="preserve"> </w:t>
            </w:r>
            <w:r>
              <w:rPr>
                <w:spacing w:val="-2"/>
              </w:rPr>
              <w:t>Zuteilung</w:t>
            </w:r>
            <w:r>
              <w:tab/>
            </w:r>
            <w:r>
              <w:rPr>
                <w:spacing w:val="-10"/>
              </w:rPr>
              <w:t>3</w:t>
            </w:r>
          </w:hyperlink>
        </w:p>
        <w:p w14:paraId="07401679" w14:textId="77777777" w:rsidR="00E02435" w:rsidRDefault="00E02435">
          <w:pPr>
            <w:pStyle w:val="TOC2"/>
            <w:numPr>
              <w:ilvl w:val="1"/>
              <w:numId w:val="3"/>
            </w:numPr>
            <w:tabs>
              <w:tab w:val="left" w:pos="1682"/>
              <w:tab w:val="right" w:leader="dot" w:pos="9580"/>
            </w:tabs>
            <w:ind w:hanging="710"/>
          </w:pPr>
          <w:hyperlink w:anchor="_bookmark5" w:history="1">
            <w:r>
              <w:t>Kriterien</w:t>
            </w:r>
            <w:r>
              <w:rPr>
                <w:spacing w:val="-6"/>
              </w:rPr>
              <w:t xml:space="preserve"> </w:t>
            </w:r>
            <w:r>
              <w:t>für</w:t>
            </w:r>
            <w:r>
              <w:rPr>
                <w:spacing w:val="-6"/>
              </w:rPr>
              <w:t xml:space="preserve"> </w:t>
            </w:r>
            <w:r>
              <w:t>die</w:t>
            </w:r>
            <w:r>
              <w:rPr>
                <w:spacing w:val="-5"/>
              </w:rPr>
              <w:t xml:space="preserve"> </w:t>
            </w:r>
            <w:r>
              <w:rPr>
                <w:spacing w:val="-2"/>
              </w:rPr>
              <w:t>Investorenauswahl</w:t>
            </w:r>
            <w:r>
              <w:tab/>
            </w:r>
            <w:r>
              <w:rPr>
                <w:spacing w:val="-12"/>
              </w:rPr>
              <w:t>3</w:t>
            </w:r>
          </w:hyperlink>
        </w:p>
        <w:p w14:paraId="40AAC426" w14:textId="77777777" w:rsidR="00E02435" w:rsidRDefault="00E02435">
          <w:pPr>
            <w:pStyle w:val="TOC1"/>
            <w:numPr>
              <w:ilvl w:val="0"/>
              <w:numId w:val="3"/>
            </w:numPr>
            <w:tabs>
              <w:tab w:val="left" w:pos="943"/>
              <w:tab w:val="right" w:leader="dot" w:pos="9581"/>
            </w:tabs>
          </w:pPr>
          <w:hyperlink w:anchor="_bookmark6" w:history="1">
            <w:r>
              <w:rPr>
                <w:spacing w:val="-2"/>
              </w:rPr>
              <w:t>Zuteilungsprozess</w:t>
            </w:r>
            <w:r>
              <w:tab/>
            </w:r>
            <w:r>
              <w:rPr>
                <w:spacing w:val="-10"/>
              </w:rPr>
              <w:t>4</w:t>
            </w:r>
          </w:hyperlink>
        </w:p>
        <w:p w14:paraId="7233B560" w14:textId="77777777" w:rsidR="00E02435" w:rsidRDefault="00E02435">
          <w:pPr>
            <w:pStyle w:val="TOC2"/>
            <w:numPr>
              <w:ilvl w:val="1"/>
              <w:numId w:val="3"/>
            </w:numPr>
            <w:tabs>
              <w:tab w:val="left" w:pos="1682"/>
              <w:tab w:val="right" w:leader="dot" w:pos="9580"/>
            </w:tabs>
            <w:ind w:hanging="710"/>
          </w:pPr>
          <w:hyperlink w:anchor="_bookmark7" w:history="1">
            <w:r>
              <w:t>Zuteilungsprozess</w:t>
            </w:r>
            <w:r>
              <w:rPr>
                <w:spacing w:val="-8"/>
              </w:rPr>
              <w:t xml:space="preserve"> </w:t>
            </w:r>
            <w:r>
              <w:t>-</w:t>
            </w:r>
            <w:r>
              <w:rPr>
                <w:spacing w:val="-9"/>
              </w:rPr>
              <w:t xml:space="preserve"> </w:t>
            </w:r>
            <w:r>
              <w:rPr>
                <w:spacing w:val="-2"/>
              </w:rPr>
              <w:t>Einzelschritte</w:t>
            </w:r>
            <w:r>
              <w:tab/>
            </w:r>
            <w:r>
              <w:rPr>
                <w:spacing w:val="-12"/>
              </w:rPr>
              <w:t>5</w:t>
            </w:r>
          </w:hyperlink>
        </w:p>
        <w:p w14:paraId="44C22055" w14:textId="77777777" w:rsidR="00E02435" w:rsidRDefault="00E02435">
          <w:pPr>
            <w:pStyle w:val="TOC2"/>
            <w:numPr>
              <w:ilvl w:val="1"/>
              <w:numId w:val="3"/>
            </w:numPr>
            <w:tabs>
              <w:tab w:val="left" w:pos="1682"/>
              <w:tab w:val="right" w:leader="dot" w:pos="9580"/>
            </w:tabs>
            <w:spacing w:before="71"/>
            <w:ind w:hanging="710"/>
          </w:pPr>
          <w:hyperlink w:anchor="_bookmark8" w:history="1">
            <w:r>
              <w:t>Sonstige</w:t>
            </w:r>
            <w:r>
              <w:rPr>
                <w:spacing w:val="-7"/>
              </w:rPr>
              <w:t xml:space="preserve"> </w:t>
            </w:r>
            <w:r>
              <w:t>Faktoren</w:t>
            </w:r>
            <w:r>
              <w:rPr>
                <w:spacing w:val="-4"/>
              </w:rPr>
              <w:t xml:space="preserve"> </w:t>
            </w:r>
            <w:r>
              <w:t>wie</w:t>
            </w:r>
            <w:r>
              <w:rPr>
                <w:spacing w:val="-6"/>
              </w:rPr>
              <w:t xml:space="preserve"> </w:t>
            </w:r>
            <w:r>
              <w:t>Preis</w:t>
            </w:r>
            <w:r>
              <w:rPr>
                <w:spacing w:val="-5"/>
              </w:rPr>
              <w:t xml:space="preserve"> </w:t>
            </w:r>
            <w:r>
              <w:t>und</w:t>
            </w:r>
            <w:r>
              <w:rPr>
                <w:spacing w:val="-6"/>
              </w:rPr>
              <w:t xml:space="preserve"> </w:t>
            </w:r>
            <w:r>
              <w:t>Zeitpunkt</w:t>
            </w:r>
            <w:r>
              <w:rPr>
                <w:spacing w:val="-6"/>
              </w:rPr>
              <w:t xml:space="preserve"> </w:t>
            </w:r>
            <w:r>
              <w:t>des</w:t>
            </w:r>
            <w:r>
              <w:rPr>
                <w:spacing w:val="-6"/>
              </w:rPr>
              <w:t xml:space="preserve"> </w:t>
            </w:r>
            <w:r>
              <w:rPr>
                <w:spacing w:val="-2"/>
              </w:rPr>
              <w:t>Angebotes</w:t>
            </w:r>
            <w:r>
              <w:tab/>
            </w:r>
            <w:r>
              <w:rPr>
                <w:spacing w:val="-10"/>
              </w:rPr>
              <w:t>6</w:t>
            </w:r>
          </w:hyperlink>
        </w:p>
        <w:p w14:paraId="665F2B7A" w14:textId="77777777" w:rsidR="00E02435" w:rsidRDefault="00E02435">
          <w:pPr>
            <w:pStyle w:val="TOC1"/>
            <w:numPr>
              <w:ilvl w:val="0"/>
              <w:numId w:val="3"/>
            </w:numPr>
            <w:tabs>
              <w:tab w:val="left" w:pos="943"/>
              <w:tab w:val="right" w:leader="dot" w:pos="9581"/>
            </w:tabs>
          </w:pPr>
          <w:hyperlink w:anchor="_bookmark9" w:history="1">
            <w:r>
              <w:rPr>
                <w:spacing w:val="-2"/>
              </w:rPr>
              <w:t>Zuteilungsbeschränkungen</w:t>
            </w:r>
            <w:r>
              <w:tab/>
            </w:r>
            <w:r>
              <w:rPr>
                <w:spacing w:val="-10"/>
              </w:rPr>
              <w:t>6</w:t>
            </w:r>
          </w:hyperlink>
        </w:p>
      </w:sdtContent>
    </w:sdt>
    <w:p w14:paraId="6C13D5E9" w14:textId="77777777" w:rsidR="00E02435" w:rsidRDefault="00E02435">
      <w:pPr>
        <w:sectPr w:rsidR="00E02435">
          <w:headerReference w:type="default" r:id="rId9"/>
          <w:footerReference w:type="default" r:id="rId10"/>
          <w:pgSz w:w="11910" w:h="16840"/>
          <w:pgMar w:top="1280" w:right="700" w:bottom="780" w:left="900" w:header="734" w:footer="589" w:gutter="0"/>
          <w:pgNumType w:start="2"/>
          <w:cols w:space="720"/>
        </w:sectPr>
      </w:pPr>
    </w:p>
    <w:p w14:paraId="50024FBE" w14:textId="77777777" w:rsidR="00E02435" w:rsidRDefault="00E02435">
      <w:pPr>
        <w:pStyle w:val="BodyText"/>
        <w:spacing w:before="203"/>
        <w:rPr>
          <w:sz w:val="24"/>
        </w:rPr>
      </w:pPr>
    </w:p>
    <w:p w14:paraId="03BA0EDC" w14:textId="77777777" w:rsidR="00E02435" w:rsidRDefault="00384525">
      <w:pPr>
        <w:pStyle w:val="Heading1"/>
        <w:numPr>
          <w:ilvl w:val="0"/>
          <w:numId w:val="2"/>
        </w:numPr>
        <w:tabs>
          <w:tab w:val="left" w:pos="1226"/>
        </w:tabs>
      </w:pPr>
      <w:bookmarkStart w:id="0" w:name="_bookmark0"/>
      <w:bookmarkEnd w:id="0"/>
      <w:r>
        <w:rPr>
          <w:color w:val="0017A8"/>
          <w:spacing w:val="-2"/>
        </w:rPr>
        <w:t>Geltungsbereich</w:t>
      </w:r>
    </w:p>
    <w:p w14:paraId="13D8B171" w14:textId="77777777" w:rsidR="00E02435" w:rsidRDefault="00384525">
      <w:pPr>
        <w:pStyle w:val="BodyText"/>
        <w:spacing w:before="253"/>
        <w:ind w:left="518" w:right="724"/>
        <w:jc w:val="both"/>
      </w:pPr>
      <w:r>
        <w:t>In dieser Richtlinie sind die Prozesse beschrieben, die der Vermarktung und Zuteilung bei Kapital- marktgeschäften der Deutschen Bank (die „Bank“) zugrunde liegen.</w:t>
      </w:r>
    </w:p>
    <w:p w14:paraId="7B1BF345" w14:textId="3D5F81F3" w:rsidR="00E02435" w:rsidRDefault="00384525">
      <w:pPr>
        <w:pStyle w:val="BodyText"/>
        <w:spacing w:before="200"/>
        <w:ind w:left="518" w:right="716"/>
        <w:jc w:val="both"/>
      </w:pPr>
      <w:r>
        <w:t>Die</w:t>
      </w:r>
      <w:r>
        <w:rPr>
          <w:spacing w:val="-9"/>
        </w:rPr>
        <w:t xml:space="preserve"> </w:t>
      </w:r>
      <w:r>
        <w:t>Bank</w:t>
      </w:r>
      <w:r>
        <w:rPr>
          <w:spacing w:val="-10"/>
        </w:rPr>
        <w:t xml:space="preserve"> </w:t>
      </w:r>
      <w:r>
        <w:t>übernimmt</w:t>
      </w:r>
      <w:r>
        <w:rPr>
          <w:spacing w:val="-10"/>
        </w:rPr>
        <w:t xml:space="preserve"> </w:t>
      </w:r>
      <w:r>
        <w:t>die</w:t>
      </w:r>
      <w:r>
        <w:rPr>
          <w:spacing w:val="-11"/>
        </w:rPr>
        <w:t xml:space="preserve"> </w:t>
      </w:r>
      <w:r>
        <w:t>Vermarktungs-</w:t>
      </w:r>
      <w:r>
        <w:rPr>
          <w:spacing w:val="-9"/>
        </w:rPr>
        <w:t xml:space="preserve"> </w:t>
      </w:r>
      <w:r>
        <w:t>und</w:t>
      </w:r>
      <w:r>
        <w:rPr>
          <w:spacing w:val="-9"/>
        </w:rPr>
        <w:t xml:space="preserve"> </w:t>
      </w:r>
      <w:r>
        <w:t>Zuteilungsaktivitäten</w:t>
      </w:r>
      <w:r>
        <w:rPr>
          <w:spacing w:val="-10"/>
        </w:rPr>
        <w:t xml:space="preserve"> </w:t>
      </w:r>
      <w:r>
        <w:t>für</w:t>
      </w:r>
      <w:r>
        <w:rPr>
          <w:spacing w:val="-9"/>
        </w:rPr>
        <w:t xml:space="preserve"> </w:t>
      </w:r>
      <w:r>
        <w:t>und</w:t>
      </w:r>
      <w:r>
        <w:rPr>
          <w:spacing w:val="-9"/>
        </w:rPr>
        <w:t xml:space="preserve"> </w:t>
      </w:r>
      <w:r>
        <w:t>im</w:t>
      </w:r>
      <w:r>
        <w:rPr>
          <w:spacing w:val="-9"/>
        </w:rPr>
        <w:t xml:space="preserve"> </w:t>
      </w:r>
      <w:r>
        <w:t>Auftrag</w:t>
      </w:r>
      <w:r>
        <w:rPr>
          <w:spacing w:val="-10"/>
        </w:rPr>
        <w:t xml:space="preserve"> </w:t>
      </w:r>
      <w:r>
        <w:t>des</w:t>
      </w:r>
      <w:r>
        <w:rPr>
          <w:spacing w:val="-9"/>
        </w:rPr>
        <w:t xml:space="preserve"> </w:t>
      </w:r>
      <w:r>
        <w:t xml:space="preserve">Emittenten bzw. Wertpapierverkäufer-Kunden (fortan Anbieter) in deren primärem Interesse. Diese Richtlinie beschreibt das Verfahren, nach dem die Bank vorgeht, um die Vermarktung und Zuteilung gerecht und ordnungsgemäß sowie unter Berücksichtigung der </w:t>
      </w:r>
      <w:r w:rsidR="007F35F6">
        <w:t>berechtigten</w:t>
      </w:r>
      <w:r>
        <w:t xml:space="preserve"> Interessen ihrer Anleger (ge- mäß vorigem Satz) durchzuführen.</w:t>
      </w:r>
    </w:p>
    <w:p w14:paraId="7A50993F" w14:textId="77777777" w:rsidR="00E02435" w:rsidRDefault="00384525">
      <w:pPr>
        <w:pStyle w:val="BodyText"/>
        <w:spacing w:before="200"/>
        <w:ind w:left="518" w:right="718"/>
        <w:jc w:val="both"/>
      </w:pPr>
      <w:r>
        <w:t>Sofern die Bank einen Preis garantiert (Backstop) oder auf andere Art und Weise Risiken bei Trans- aktionen mit Kunden eingeht, wird die Bank während des Zuteilungsprozesses Maßnahmen ergrei- fen, die sie im Sinne des Risikomanagements für erforderlich oder angemessen erachtet.</w:t>
      </w:r>
    </w:p>
    <w:p w14:paraId="0113F768" w14:textId="77777777" w:rsidR="00E02435" w:rsidRDefault="00E02435">
      <w:pPr>
        <w:pStyle w:val="BodyText"/>
        <w:spacing w:before="105"/>
      </w:pPr>
    </w:p>
    <w:p w14:paraId="76070B72" w14:textId="77777777" w:rsidR="00E02435" w:rsidRDefault="00384525">
      <w:pPr>
        <w:pStyle w:val="Heading1"/>
        <w:numPr>
          <w:ilvl w:val="0"/>
          <w:numId w:val="2"/>
        </w:numPr>
        <w:tabs>
          <w:tab w:val="left" w:pos="1226"/>
        </w:tabs>
      </w:pPr>
      <w:bookmarkStart w:id="1" w:name="_bookmark1"/>
      <w:bookmarkEnd w:id="1"/>
      <w:r>
        <w:rPr>
          <w:color w:val="0017A8"/>
        </w:rPr>
        <w:t>Ziele</w:t>
      </w:r>
      <w:r>
        <w:rPr>
          <w:color w:val="0017A8"/>
          <w:spacing w:val="-3"/>
        </w:rPr>
        <w:t xml:space="preserve"> </w:t>
      </w:r>
      <w:r>
        <w:rPr>
          <w:color w:val="0017A8"/>
        </w:rPr>
        <w:t>und</w:t>
      </w:r>
      <w:r>
        <w:rPr>
          <w:color w:val="0017A8"/>
          <w:spacing w:val="-1"/>
        </w:rPr>
        <w:t xml:space="preserve"> </w:t>
      </w:r>
      <w:r>
        <w:rPr>
          <w:color w:val="0017A8"/>
          <w:spacing w:val="-2"/>
        </w:rPr>
        <w:t>Anwendbarkeit</w:t>
      </w:r>
    </w:p>
    <w:p w14:paraId="074F1D3D" w14:textId="77777777" w:rsidR="00E02435" w:rsidRDefault="00384525" w:rsidP="00830CAC">
      <w:pPr>
        <w:pStyle w:val="Heading1"/>
        <w:numPr>
          <w:ilvl w:val="1"/>
          <w:numId w:val="2"/>
        </w:numPr>
        <w:tabs>
          <w:tab w:val="left" w:pos="1226"/>
        </w:tabs>
        <w:spacing w:before="240" w:after="120" w:line="252" w:lineRule="auto"/>
        <w:ind w:left="1225" w:hanging="709"/>
      </w:pPr>
      <w:bookmarkStart w:id="2" w:name="_bookmark2"/>
      <w:bookmarkEnd w:id="2"/>
      <w:r>
        <w:rPr>
          <w:color w:val="0017A8"/>
          <w:spacing w:val="-2"/>
        </w:rPr>
        <w:t>Ziele</w:t>
      </w:r>
    </w:p>
    <w:p w14:paraId="7862A06F" w14:textId="77777777" w:rsidR="00E02435" w:rsidRDefault="00384525" w:rsidP="00C552F3">
      <w:pPr>
        <w:pStyle w:val="BodyText"/>
        <w:spacing w:before="120" w:after="120" w:line="252" w:lineRule="auto"/>
        <w:ind w:left="516"/>
        <w:jc w:val="both"/>
      </w:pPr>
      <w:r>
        <w:t>Diese</w:t>
      </w:r>
      <w:r>
        <w:rPr>
          <w:spacing w:val="-8"/>
        </w:rPr>
        <w:t xml:space="preserve"> </w:t>
      </w:r>
      <w:r>
        <w:t>Richtlinie</w:t>
      </w:r>
      <w:r>
        <w:rPr>
          <w:spacing w:val="-7"/>
        </w:rPr>
        <w:t xml:space="preserve"> </w:t>
      </w:r>
      <w:r>
        <w:t>dient</w:t>
      </w:r>
      <w:r>
        <w:rPr>
          <w:spacing w:val="-7"/>
        </w:rPr>
        <w:t xml:space="preserve"> </w:t>
      </w:r>
      <w:r>
        <w:rPr>
          <w:spacing w:val="-2"/>
        </w:rPr>
        <w:t>dazu:</w:t>
      </w:r>
    </w:p>
    <w:p w14:paraId="1C0A2444" w14:textId="74C2D613" w:rsidR="005D221E" w:rsidRDefault="005D221E" w:rsidP="002210C9">
      <w:pPr>
        <w:pStyle w:val="ListParagraph"/>
        <w:numPr>
          <w:ilvl w:val="2"/>
          <w:numId w:val="2"/>
        </w:numPr>
        <w:spacing w:line="276" w:lineRule="auto"/>
        <w:ind w:right="716"/>
        <w:rPr>
          <w:sz w:val="20"/>
        </w:rPr>
      </w:pPr>
      <w:r w:rsidRPr="005D221E">
        <w:rPr>
          <w:sz w:val="20"/>
        </w:rPr>
        <w:t>sicher zu stellen, dass relevante Bankmitarbeite</w:t>
      </w:r>
      <w:r w:rsidR="001323BE">
        <w:rPr>
          <w:sz w:val="20"/>
        </w:rPr>
        <w:t>nde</w:t>
      </w:r>
      <w:r w:rsidRPr="005D221E">
        <w:rPr>
          <w:sz w:val="20"/>
        </w:rPr>
        <w:t xml:space="preserve"> über den Marketing- und Allokationsprozess der Bank sowie über die Art der Beziehungen der Bank zu Emittenten / Anbiete</w:t>
      </w:r>
      <w:r w:rsidR="00BD16F8">
        <w:rPr>
          <w:sz w:val="20"/>
        </w:rPr>
        <w:t>r</w:t>
      </w:r>
      <w:r w:rsidR="007E3F04">
        <w:rPr>
          <w:sz w:val="20"/>
        </w:rPr>
        <w:t>n</w:t>
      </w:r>
      <w:r w:rsidRPr="005D221E">
        <w:rPr>
          <w:sz w:val="20"/>
        </w:rPr>
        <w:t xml:space="preserve"> und Investoren im Kontext von Marketing- und Allokationsaktivitäten für Kapitalmarkttransaktionen informiert sind,</w:t>
      </w:r>
    </w:p>
    <w:p w14:paraId="1218BFF8" w14:textId="77777777" w:rsidR="00E02435" w:rsidRDefault="00384525" w:rsidP="002210C9">
      <w:pPr>
        <w:pStyle w:val="ListParagraph"/>
        <w:numPr>
          <w:ilvl w:val="2"/>
          <w:numId w:val="2"/>
        </w:numPr>
        <w:spacing w:line="276" w:lineRule="auto"/>
        <w:ind w:right="716"/>
        <w:rPr>
          <w:sz w:val="20"/>
        </w:rPr>
      </w:pPr>
      <w:r>
        <w:rPr>
          <w:sz w:val="20"/>
        </w:rPr>
        <w:t>zuverlässige</w:t>
      </w:r>
      <w:r w:rsidRPr="002210C9">
        <w:rPr>
          <w:sz w:val="20"/>
        </w:rPr>
        <w:t xml:space="preserve"> </w:t>
      </w:r>
      <w:r>
        <w:rPr>
          <w:sz w:val="20"/>
        </w:rPr>
        <w:t>Geschäftspraktiken</w:t>
      </w:r>
      <w:r w:rsidRPr="002210C9">
        <w:rPr>
          <w:sz w:val="20"/>
        </w:rPr>
        <w:t xml:space="preserve"> </w:t>
      </w:r>
      <w:r>
        <w:rPr>
          <w:sz w:val="20"/>
        </w:rPr>
        <w:t>zu</w:t>
      </w:r>
      <w:r w:rsidRPr="002210C9">
        <w:rPr>
          <w:sz w:val="20"/>
        </w:rPr>
        <w:t xml:space="preserve"> </w:t>
      </w:r>
      <w:r>
        <w:rPr>
          <w:sz w:val="20"/>
        </w:rPr>
        <w:t>fördern</w:t>
      </w:r>
      <w:r w:rsidRPr="002210C9">
        <w:rPr>
          <w:sz w:val="20"/>
        </w:rPr>
        <w:t xml:space="preserve"> </w:t>
      </w:r>
      <w:r>
        <w:rPr>
          <w:sz w:val="20"/>
        </w:rPr>
        <w:t>und</w:t>
      </w:r>
      <w:r w:rsidRPr="002210C9">
        <w:rPr>
          <w:sz w:val="20"/>
        </w:rPr>
        <w:t xml:space="preserve"> </w:t>
      </w:r>
      <w:r>
        <w:rPr>
          <w:sz w:val="20"/>
        </w:rPr>
        <w:t>einen</w:t>
      </w:r>
      <w:r w:rsidRPr="002210C9">
        <w:rPr>
          <w:sz w:val="20"/>
        </w:rPr>
        <w:t xml:space="preserve"> </w:t>
      </w:r>
      <w:r>
        <w:rPr>
          <w:sz w:val="20"/>
        </w:rPr>
        <w:t>Beitrag</w:t>
      </w:r>
      <w:r w:rsidRPr="002210C9">
        <w:rPr>
          <w:sz w:val="20"/>
        </w:rPr>
        <w:t xml:space="preserve"> </w:t>
      </w:r>
      <w:r>
        <w:rPr>
          <w:sz w:val="20"/>
        </w:rPr>
        <w:t>zur</w:t>
      </w:r>
      <w:r w:rsidRPr="002210C9">
        <w:rPr>
          <w:sz w:val="20"/>
        </w:rPr>
        <w:t xml:space="preserve"> </w:t>
      </w:r>
      <w:r>
        <w:rPr>
          <w:sz w:val="20"/>
        </w:rPr>
        <w:t>Aufrechterhaltung</w:t>
      </w:r>
      <w:r w:rsidRPr="002210C9">
        <w:rPr>
          <w:sz w:val="20"/>
        </w:rPr>
        <w:t xml:space="preserve"> </w:t>
      </w:r>
      <w:r>
        <w:rPr>
          <w:sz w:val="20"/>
        </w:rPr>
        <w:t>eines geordneten Marktes zu leisten,</w:t>
      </w:r>
    </w:p>
    <w:p w14:paraId="5A893C5F" w14:textId="77777777" w:rsidR="00E02435" w:rsidRDefault="00384525" w:rsidP="002210C9">
      <w:pPr>
        <w:pStyle w:val="ListParagraph"/>
        <w:numPr>
          <w:ilvl w:val="2"/>
          <w:numId w:val="2"/>
        </w:numPr>
        <w:tabs>
          <w:tab w:val="left" w:pos="1390"/>
        </w:tabs>
        <w:spacing w:line="276" w:lineRule="auto"/>
        <w:ind w:right="716"/>
        <w:rPr>
          <w:sz w:val="20"/>
        </w:rPr>
      </w:pPr>
      <w:r>
        <w:rPr>
          <w:sz w:val="20"/>
        </w:rPr>
        <w:t>den</w:t>
      </w:r>
      <w:r w:rsidRPr="002210C9">
        <w:rPr>
          <w:sz w:val="20"/>
        </w:rPr>
        <w:t xml:space="preserve"> </w:t>
      </w:r>
      <w:r>
        <w:rPr>
          <w:sz w:val="20"/>
        </w:rPr>
        <w:t>Umgang</w:t>
      </w:r>
      <w:r w:rsidRPr="002210C9">
        <w:rPr>
          <w:sz w:val="20"/>
        </w:rPr>
        <w:t xml:space="preserve"> </w:t>
      </w:r>
      <w:r>
        <w:rPr>
          <w:sz w:val="20"/>
        </w:rPr>
        <w:t>mit</w:t>
      </w:r>
      <w:r w:rsidRPr="002210C9">
        <w:rPr>
          <w:sz w:val="20"/>
        </w:rPr>
        <w:t xml:space="preserve"> </w:t>
      </w:r>
      <w:r>
        <w:rPr>
          <w:sz w:val="20"/>
        </w:rPr>
        <w:t>Interessenkonflikten</w:t>
      </w:r>
      <w:r w:rsidRPr="002210C9">
        <w:rPr>
          <w:sz w:val="20"/>
        </w:rPr>
        <w:t xml:space="preserve"> </w:t>
      </w:r>
      <w:r>
        <w:rPr>
          <w:sz w:val="20"/>
        </w:rPr>
        <w:t>zu</w:t>
      </w:r>
      <w:r w:rsidRPr="002210C9">
        <w:rPr>
          <w:sz w:val="20"/>
        </w:rPr>
        <w:t xml:space="preserve"> </w:t>
      </w:r>
      <w:r>
        <w:rPr>
          <w:sz w:val="20"/>
        </w:rPr>
        <w:t>erleichtern</w:t>
      </w:r>
      <w:r w:rsidRPr="002210C9">
        <w:rPr>
          <w:sz w:val="20"/>
        </w:rPr>
        <w:t xml:space="preserve"> und</w:t>
      </w:r>
    </w:p>
    <w:p w14:paraId="5DDDF9F4" w14:textId="77777777" w:rsidR="00E02435" w:rsidRDefault="00384525" w:rsidP="002210C9">
      <w:pPr>
        <w:pStyle w:val="ListParagraph"/>
        <w:numPr>
          <w:ilvl w:val="2"/>
          <w:numId w:val="2"/>
        </w:numPr>
        <w:tabs>
          <w:tab w:val="left" w:pos="1390"/>
        </w:tabs>
        <w:spacing w:line="276" w:lineRule="auto"/>
        <w:ind w:right="716"/>
        <w:rPr>
          <w:sz w:val="20"/>
        </w:rPr>
      </w:pPr>
      <w:r>
        <w:rPr>
          <w:sz w:val="20"/>
        </w:rPr>
        <w:t>die</w:t>
      </w:r>
      <w:r w:rsidRPr="002210C9">
        <w:rPr>
          <w:sz w:val="20"/>
        </w:rPr>
        <w:t xml:space="preserve"> </w:t>
      </w:r>
      <w:r>
        <w:rPr>
          <w:sz w:val="20"/>
        </w:rPr>
        <w:t>Erfüllung</w:t>
      </w:r>
      <w:r w:rsidRPr="002210C9">
        <w:rPr>
          <w:sz w:val="20"/>
        </w:rPr>
        <w:t xml:space="preserve"> </w:t>
      </w:r>
      <w:r>
        <w:rPr>
          <w:sz w:val="20"/>
        </w:rPr>
        <w:t>aufsichtsrechtlicher</w:t>
      </w:r>
      <w:r w:rsidRPr="002210C9">
        <w:rPr>
          <w:sz w:val="20"/>
        </w:rPr>
        <w:t xml:space="preserve"> </w:t>
      </w:r>
      <w:r>
        <w:rPr>
          <w:sz w:val="20"/>
        </w:rPr>
        <w:t>Anforderungen</w:t>
      </w:r>
      <w:r w:rsidRPr="002210C9">
        <w:rPr>
          <w:sz w:val="20"/>
        </w:rPr>
        <w:t xml:space="preserve"> sicherzustellen.</w:t>
      </w:r>
    </w:p>
    <w:p w14:paraId="2CF20319" w14:textId="77777777" w:rsidR="00E02435" w:rsidRDefault="00E02435">
      <w:pPr>
        <w:pStyle w:val="BodyText"/>
        <w:spacing w:before="21"/>
      </w:pPr>
    </w:p>
    <w:p w14:paraId="5B6DA73A" w14:textId="77777777" w:rsidR="00E02435" w:rsidRDefault="00384525">
      <w:pPr>
        <w:pStyle w:val="Heading1"/>
        <w:numPr>
          <w:ilvl w:val="1"/>
          <w:numId w:val="2"/>
        </w:numPr>
        <w:tabs>
          <w:tab w:val="left" w:pos="1226"/>
        </w:tabs>
      </w:pPr>
      <w:bookmarkStart w:id="3" w:name="_bookmark3"/>
      <w:bookmarkEnd w:id="3"/>
      <w:r>
        <w:rPr>
          <w:color w:val="0017A8"/>
          <w:spacing w:val="-2"/>
        </w:rPr>
        <w:t>Anwendbarkeit</w:t>
      </w:r>
    </w:p>
    <w:p w14:paraId="18B55169" w14:textId="17344AF7" w:rsidR="00E02435" w:rsidRDefault="00384525" w:rsidP="002210C9">
      <w:pPr>
        <w:pStyle w:val="BodyText"/>
        <w:spacing w:before="120" w:after="120" w:line="252" w:lineRule="auto"/>
        <w:ind w:left="516" w:right="244"/>
        <w:jc w:val="both"/>
      </w:pPr>
      <w:r>
        <w:t>Diese Richtlinie gilt für alle Investment &amp; Corporate Bank Mitarbeite</w:t>
      </w:r>
      <w:r w:rsidR="007E3F04">
        <w:t>nde</w:t>
      </w:r>
      <w:r w:rsidR="001323BE">
        <w:t>n</w:t>
      </w:r>
      <w:r>
        <w:t xml:space="preserve"> in den Regionen EMEA (ein- schließlich</w:t>
      </w:r>
      <w:r>
        <w:rPr>
          <w:spacing w:val="-14"/>
        </w:rPr>
        <w:t xml:space="preserve"> </w:t>
      </w:r>
      <w:r>
        <w:t>Deutschland,</w:t>
      </w:r>
      <w:r>
        <w:rPr>
          <w:spacing w:val="-12"/>
        </w:rPr>
        <w:t xml:space="preserve"> </w:t>
      </w:r>
      <w:r>
        <w:t>Großbritannien</w:t>
      </w:r>
      <w:r>
        <w:rPr>
          <w:spacing w:val="-12"/>
        </w:rPr>
        <w:t xml:space="preserve"> </w:t>
      </w:r>
      <w:r>
        <w:t>und</w:t>
      </w:r>
      <w:r>
        <w:rPr>
          <w:spacing w:val="-12"/>
        </w:rPr>
        <w:t xml:space="preserve"> </w:t>
      </w:r>
      <w:r>
        <w:t>Irland)</w:t>
      </w:r>
      <w:r>
        <w:rPr>
          <w:spacing w:val="-12"/>
        </w:rPr>
        <w:t xml:space="preserve"> </w:t>
      </w:r>
      <w:r>
        <w:t>und</w:t>
      </w:r>
      <w:r>
        <w:rPr>
          <w:spacing w:val="-12"/>
        </w:rPr>
        <w:t xml:space="preserve"> </w:t>
      </w:r>
      <w:r>
        <w:t>APAC</w:t>
      </w:r>
      <w:r>
        <w:rPr>
          <w:spacing w:val="-12"/>
        </w:rPr>
        <w:t xml:space="preserve"> </w:t>
      </w:r>
      <w:r>
        <w:t>sowie</w:t>
      </w:r>
      <w:r>
        <w:rPr>
          <w:spacing w:val="-12"/>
        </w:rPr>
        <w:t xml:space="preserve"> </w:t>
      </w:r>
      <w:r>
        <w:t>alle</w:t>
      </w:r>
      <w:r>
        <w:rPr>
          <w:spacing w:val="-12"/>
        </w:rPr>
        <w:t xml:space="preserve"> </w:t>
      </w:r>
      <w:r>
        <w:t>Mitarbeite</w:t>
      </w:r>
      <w:r w:rsidR="001323BE">
        <w:t>nden</w:t>
      </w:r>
      <w:r>
        <w:t>,</w:t>
      </w:r>
      <w:r>
        <w:rPr>
          <w:spacing w:val="-12"/>
        </w:rPr>
        <w:t xml:space="preserve"> </w:t>
      </w:r>
      <w:r>
        <w:t>die</w:t>
      </w:r>
      <w:r>
        <w:rPr>
          <w:spacing w:val="-12"/>
        </w:rPr>
        <w:t xml:space="preserve"> </w:t>
      </w:r>
      <w:r>
        <w:t>auf</w:t>
      </w:r>
      <w:r>
        <w:rPr>
          <w:spacing w:val="-12"/>
        </w:rPr>
        <w:t xml:space="preserve"> </w:t>
      </w:r>
      <w:r>
        <w:t>globaler Ebene mit dem Bookbuilding von EMEA oder APAC-Kapitalmarkttransaktionen in Niederlassungen oder</w:t>
      </w:r>
      <w:r>
        <w:rPr>
          <w:spacing w:val="-4"/>
        </w:rPr>
        <w:t xml:space="preserve"> </w:t>
      </w:r>
      <w:r>
        <w:t>Tochtergesellschaften</w:t>
      </w:r>
      <w:r>
        <w:rPr>
          <w:spacing w:val="-2"/>
        </w:rPr>
        <w:t xml:space="preserve"> </w:t>
      </w:r>
      <w:r>
        <w:t>der</w:t>
      </w:r>
      <w:r>
        <w:rPr>
          <w:spacing w:val="-1"/>
        </w:rPr>
        <w:t xml:space="preserve"> </w:t>
      </w:r>
      <w:r>
        <w:t>Deutsche</w:t>
      </w:r>
      <w:r>
        <w:rPr>
          <w:spacing w:val="-4"/>
        </w:rPr>
        <w:t xml:space="preserve"> </w:t>
      </w:r>
      <w:r>
        <w:t>Bank</w:t>
      </w:r>
      <w:r>
        <w:rPr>
          <w:spacing w:val="-3"/>
        </w:rPr>
        <w:t xml:space="preserve"> </w:t>
      </w:r>
      <w:r>
        <w:t>AG</w:t>
      </w:r>
      <w:r>
        <w:rPr>
          <w:spacing w:val="-4"/>
        </w:rPr>
        <w:t xml:space="preserve"> </w:t>
      </w:r>
      <w:r>
        <w:t>befasst</w:t>
      </w:r>
      <w:r>
        <w:rPr>
          <w:spacing w:val="-4"/>
        </w:rPr>
        <w:t xml:space="preserve"> </w:t>
      </w:r>
      <w:r>
        <w:t>sind.</w:t>
      </w:r>
      <w:r>
        <w:rPr>
          <w:spacing w:val="-2"/>
        </w:rPr>
        <w:t xml:space="preserve"> </w:t>
      </w:r>
      <w:r>
        <w:t>Sie</w:t>
      </w:r>
      <w:r>
        <w:rPr>
          <w:spacing w:val="-2"/>
        </w:rPr>
        <w:t xml:space="preserve"> </w:t>
      </w:r>
      <w:r>
        <w:t>enthält</w:t>
      </w:r>
      <w:r>
        <w:rPr>
          <w:spacing w:val="-4"/>
        </w:rPr>
        <w:t xml:space="preserve"> </w:t>
      </w:r>
      <w:r>
        <w:t>die</w:t>
      </w:r>
      <w:r>
        <w:rPr>
          <w:spacing w:val="-2"/>
        </w:rPr>
        <w:t xml:space="preserve"> </w:t>
      </w:r>
      <w:r>
        <w:t>Mindestanforderungen,</w:t>
      </w:r>
      <w:r>
        <w:rPr>
          <w:spacing w:val="-14"/>
        </w:rPr>
        <w:t xml:space="preserve"> </w:t>
      </w:r>
      <w:r>
        <w:t>die</w:t>
      </w:r>
      <w:r>
        <w:rPr>
          <w:spacing w:val="-12"/>
        </w:rPr>
        <w:t xml:space="preserve"> </w:t>
      </w:r>
      <w:r>
        <w:t>ggf.</w:t>
      </w:r>
      <w:r>
        <w:rPr>
          <w:spacing w:val="-12"/>
        </w:rPr>
        <w:t xml:space="preserve"> </w:t>
      </w:r>
      <w:r>
        <w:t>durch</w:t>
      </w:r>
      <w:r>
        <w:rPr>
          <w:spacing w:val="-12"/>
        </w:rPr>
        <w:t xml:space="preserve"> </w:t>
      </w:r>
      <w:r>
        <w:t>regionale,</w:t>
      </w:r>
      <w:r>
        <w:rPr>
          <w:spacing w:val="-12"/>
        </w:rPr>
        <w:t xml:space="preserve"> </w:t>
      </w:r>
      <w:r>
        <w:t>abteilungsinterne</w:t>
      </w:r>
      <w:r>
        <w:rPr>
          <w:spacing w:val="-12"/>
        </w:rPr>
        <w:t xml:space="preserve"> </w:t>
      </w:r>
      <w:r>
        <w:t>oder</w:t>
      </w:r>
      <w:r>
        <w:rPr>
          <w:spacing w:val="-12"/>
        </w:rPr>
        <w:t xml:space="preserve"> </w:t>
      </w:r>
      <w:r>
        <w:t>lokale</w:t>
      </w:r>
      <w:r>
        <w:rPr>
          <w:spacing w:val="-12"/>
        </w:rPr>
        <w:t xml:space="preserve"> </w:t>
      </w:r>
      <w:r>
        <w:t>Vorgaben</w:t>
      </w:r>
      <w:r>
        <w:rPr>
          <w:spacing w:val="-12"/>
        </w:rPr>
        <w:t xml:space="preserve"> </w:t>
      </w:r>
      <w:r>
        <w:t>oder</w:t>
      </w:r>
      <w:r>
        <w:rPr>
          <w:spacing w:val="-12"/>
        </w:rPr>
        <w:t xml:space="preserve"> </w:t>
      </w:r>
      <w:r>
        <w:t>Verfahren</w:t>
      </w:r>
      <w:r>
        <w:rPr>
          <w:spacing w:val="-12"/>
        </w:rPr>
        <w:t xml:space="preserve"> </w:t>
      </w:r>
      <w:r>
        <w:t>ergänzt</w:t>
      </w:r>
      <w:r>
        <w:rPr>
          <w:spacing w:val="-12"/>
        </w:rPr>
        <w:t xml:space="preserve"> </w:t>
      </w:r>
      <w:r>
        <w:t>werden können. Sofern lokale rechtliche oder aufsichtsrechtliche Anforderungen strengere Standards vorsehen, müssen diese eingehalten werden.</w:t>
      </w:r>
    </w:p>
    <w:p w14:paraId="7F00EDDA" w14:textId="77777777" w:rsidR="00E02435" w:rsidRDefault="00E02435">
      <w:pPr>
        <w:pStyle w:val="BodyText"/>
        <w:spacing w:before="104"/>
      </w:pPr>
    </w:p>
    <w:p w14:paraId="61B1B3B0" w14:textId="77777777" w:rsidR="00E02435" w:rsidRDefault="00384525">
      <w:pPr>
        <w:pStyle w:val="Heading1"/>
        <w:numPr>
          <w:ilvl w:val="0"/>
          <w:numId w:val="2"/>
        </w:numPr>
        <w:tabs>
          <w:tab w:val="left" w:pos="1226"/>
        </w:tabs>
      </w:pPr>
      <w:bookmarkStart w:id="4" w:name="_bookmark4"/>
      <w:bookmarkEnd w:id="4"/>
      <w:r>
        <w:rPr>
          <w:color w:val="0017A8"/>
        </w:rPr>
        <w:t>Investorenauswahl</w:t>
      </w:r>
      <w:r>
        <w:rPr>
          <w:color w:val="0017A8"/>
          <w:spacing w:val="-5"/>
        </w:rPr>
        <w:t xml:space="preserve"> </w:t>
      </w:r>
      <w:r>
        <w:rPr>
          <w:color w:val="0017A8"/>
        </w:rPr>
        <w:t>für Vermarktung</w:t>
      </w:r>
      <w:r>
        <w:rPr>
          <w:color w:val="0017A8"/>
          <w:spacing w:val="-1"/>
        </w:rPr>
        <w:t xml:space="preserve"> </w:t>
      </w:r>
      <w:r>
        <w:rPr>
          <w:color w:val="0017A8"/>
        </w:rPr>
        <w:t>und</w:t>
      </w:r>
      <w:r>
        <w:rPr>
          <w:color w:val="0017A8"/>
          <w:spacing w:val="-1"/>
        </w:rPr>
        <w:t xml:space="preserve"> </w:t>
      </w:r>
      <w:r>
        <w:rPr>
          <w:color w:val="0017A8"/>
          <w:spacing w:val="-2"/>
        </w:rPr>
        <w:t>Zuteilung</w:t>
      </w:r>
    </w:p>
    <w:p w14:paraId="79474B90" w14:textId="77777777" w:rsidR="00E02435" w:rsidRDefault="00384525">
      <w:pPr>
        <w:pStyle w:val="Heading1"/>
        <w:numPr>
          <w:ilvl w:val="1"/>
          <w:numId w:val="2"/>
        </w:numPr>
        <w:tabs>
          <w:tab w:val="left" w:pos="1226"/>
        </w:tabs>
        <w:spacing w:before="255"/>
      </w:pPr>
      <w:bookmarkStart w:id="5" w:name="_bookmark5"/>
      <w:bookmarkEnd w:id="5"/>
      <w:r>
        <w:rPr>
          <w:color w:val="0017A8"/>
        </w:rPr>
        <w:t>Kriterien</w:t>
      </w:r>
      <w:r>
        <w:rPr>
          <w:color w:val="0017A8"/>
          <w:spacing w:val="-2"/>
        </w:rPr>
        <w:t xml:space="preserve"> </w:t>
      </w:r>
      <w:r>
        <w:rPr>
          <w:color w:val="0017A8"/>
        </w:rPr>
        <w:t>für</w:t>
      </w:r>
      <w:r>
        <w:rPr>
          <w:color w:val="0017A8"/>
          <w:spacing w:val="-1"/>
        </w:rPr>
        <w:t xml:space="preserve"> </w:t>
      </w:r>
      <w:r>
        <w:rPr>
          <w:color w:val="0017A8"/>
        </w:rPr>
        <w:t>die</w:t>
      </w:r>
      <w:r>
        <w:rPr>
          <w:color w:val="0017A8"/>
          <w:spacing w:val="-1"/>
        </w:rPr>
        <w:t xml:space="preserve"> </w:t>
      </w:r>
      <w:r>
        <w:rPr>
          <w:color w:val="0017A8"/>
          <w:spacing w:val="-2"/>
        </w:rPr>
        <w:t>Investorenauswahl</w:t>
      </w:r>
    </w:p>
    <w:p w14:paraId="3F2AD158" w14:textId="474CDA96" w:rsidR="00E02435" w:rsidRDefault="00384525">
      <w:pPr>
        <w:pStyle w:val="BodyText"/>
        <w:spacing w:before="138" w:line="276" w:lineRule="auto"/>
        <w:ind w:left="518" w:right="243"/>
        <w:jc w:val="both"/>
      </w:pPr>
      <w:r>
        <w:t xml:space="preserve">Nachstehend ist eine Zusammenfassung der Kriterien für die Investorenauswahl aufgeführt, die von der Bank im Rahmen eines Vermarktungs- und Zuteilungsprozesses berücksichtigt werden. Aus dieser nicht abschließenden Liste ist typischerweise kein einzelner Faktor </w:t>
      </w:r>
      <w:r w:rsidR="00625111">
        <w:t>ausschlaggebend</w:t>
      </w:r>
      <w:r>
        <w:t>:</w:t>
      </w:r>
    </w:p>
    <w:p w14:paraId="68ADE486" w14:textId="77777777" w:rsidR="00E02435" w:rsidRDefault="00384525">
      <w:pPr>
        <w:pStyle w:val="ListParagraph"/>
        <w:numPr>
          <w:ilvl w:val="2"/>
          <w:numId w:val="2"/>
        </w:numPr>
        <w:tabs>
          <w:tab w:val="left" w:pos="1388"/>
          <w:tab w:val="left" w:pos="1390"/>
        </w:tabs>
        <w:spacing w:before="199" w:line="278" w:lineRule="auto"/>
        <w:ind w:right="715"/>
        <w:rPr>
          <w:sz w:val="20"/>
        </w:rPr>
      </w:pPr>
      <w:r>
        <w:rPr>
          <w:sz w:val="20"/>
        </w:rPr>
        <w:t>Präferenz des Emittenten/ Anbieters (einschl. Investortyp, Größe, Stil oder Mandat, geo- graphische Lage und die Behandlung bestehender Wertpapierinhaber)</w:t>
      </w:r>
    </w:p>
    <w:p w14:paraId="7224D46D" w14:textId="77777777" w:rsidR="00E02435" w:rsidRDefault="00E02435">
      <w:pPr>
        <w:spacing w:line="278" w:lineRule="auto"/>
        <w:jc w:val="both"/>
        <w:rPr>
          <w:sz w:val="20"/>
        </w:rPr>
        <w:sectPr w:rsidR="00E02435">
          <w:pgSz w:w="11910" w:h="16840"/>
          <w:pgMar w:top="1280" w:right="700" w:bottom="780" w:left="900" w:header="734" w:footer="589" w:gutter="0"/>
          <w:cols w:space="720"/>
        </w:sectPr>
      </w:pPr>
    </w:p>
    <w:p w14:paraId="09F63B15" w14:textId="77777777" w:rsidR="00E02435" w:rsidRDefault="00E02435">
      <w:pPr>
        <w:pStyle w:val="BodyText"/>
        <w:spacing w:before="255"/>
      </w:pPr>
    </w:p>
    <w:p w14:paraId="4C877141" w14:textId="77777777" w:rsidR="00897D5D" w:rsidRDefault="00897D5D" w:rsidP="00830CAC">
      <w:pPr>
        <w:pStyle w:val="ListParagraph"/>
        <w:numPr>
          <w:ilvl w:val="2"/>
          <w:numId w:val="2"/>
        </w:numPr>
        <w:tabs>
          <w:tab w:val="left" w:pos="1390"/>
        </w:tabs>
        <w:spacing w:line="276" w:lineRule="auto"/>
        <w:ind w:right="716"/>
        <w:rPr>
          <w:sz w:val="20"/>
        </w:rPr>
      </w:pPr>
      <w:r w:rsidRPr="00897D5D">
        <w:rPr>
          <w:sz w:val="20"/>
        </w:rPr>
        <w:t xml:space="preserve">Zeitpunkt und Umfang der Interessensbekundung des Investors, insbesondere wenn das Interesse erst spät bekundet wird; </w:t>
      </w:r>
    </w:p>
    <w:p w14:paraId="6FDE0B13" w14:textId="2AE6E827" w:rsidR="001747C6" w:rsidRPr="001747C6" w:rsidRDefault="001747C6" w:rsidP="00830CAC">
      <w:pPr>
        <w:pStyle w:val="ListParagraph"/>
        <w:numPr>
          <w:ilvl w:val="2"/>
          <w:numId w:val="2"/>
        </w:numPr>
        <w:tabs>
          <w:tab w:val="left" w:pos="1390"/>
        </w:tabs>
        <w:spacing w:line="276" w:lineRule="auto"/>
        <w:ind w:right="716"/>
        <w:rPr>
          <w:sz w:val="20"/>
        </w:rPr>
      </w:pPr>
      <w:r w:rsidRPr="001747C6">
        <w:rPr>
          <w:sz w:val="20"/>
        </w:rPr>
        <w:t>Art und</w:t>
      </w:r>
      <w:r>
        <w:rPr>
          <w:sz w:val="20"/>
        </w:rPr>
        <w:t xml:space="preserve"> U</w:t>
      </w:r>
      <w:r w:rsidRPr="001747C6">
        <w:rPr>
          <w:sz w:val="20"/>
        </w:rPr>
        <w:t>mfang des nachgewiesenen Interesses des Investors am Angebot oder Emittenten, einschließlich der Teilnahme an Market Sounding, Roadshows, Due Diligence, Bereitstellung von Bewertungsinformationen, Rückmeldungen an das Management, frühe Preisfarbe, Qualität des vom Investor erhaltenen Feedbacks;</w:t>
      </w:r>
    </w:p>
    <w:p w14:paraId="03109EFD" w14:textId="7F4838AE"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die Art und Umfang des nachgewiesenen Interesses des Investors am Angebot oder Emittenten, einschließlich der Teilnahme an Market Sounding, Roadshows, Due Diligence, Bereitstellung von Bewertungsinformationen, Rückmeldungen an das Management, frühe Preisfarbe, Qualität des vom Investor erhaltenen Feedbacks;</w:t>
      </w:r>
    </w:p>
    <w:p w14:paraId="2FAFF141"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 xml:space="preserve">der erwartete Investitionshorizont des Investors; </w:t>
      </w:r>
    </w:p>
    <w:p w14:paraId="0BC71DF0"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Kundenpräferenzen des Emittenten (einschließlich Anlegertyp, Größe, Stil oder Mandat, geographische Verteilung und Umgang mit bestehenden Wertpapierinhabern);</w:t>
      </w:r>
    </w:p>
    <w:p w14:paraId="70D44A10"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das Interesse des Investors an bisherigen Transaktionen, Emissionen im Allgemeinen oder anderen Wertpapieren des Emittenten und/oder des Sektors;</w:t>
      </w:r>
    </w:p>
    <w:p w14:paraId="1B2A4BC4"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Ausmaß von Besitz vergleichbare Wertpapiere und/oder des regelmäßigen Handels vergleichbarer Wertpapiere am Sekundärmarkt durch den Investor;</w:t>
      </w:r>
    </w:p>
    <w:p w14:paraId="40A94CBC"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das Interesse des Investors an der Branche/dem Produktsektor;</w:t>
      </w:r>
    </w:p>
    <w:p w14:paraId="39F19A6B"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 xml:space="preserve">die Mischung aus Wertpapieremissionen und Sekundärmarktgeschäften des Investors; </w:t>
      </w:r>
    </w:p>
    <w:p w14:paraId="04BDD7B6"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 xml:space="preserve">inwieweit das bekundete Interesse des Investors und die Zeichnungsgröße mit der bisherigen Anlagestrategie des Investors in vergleichbaren Wertpapieren oder dem Branchen-/Produktsektor des Emittenten im Primär- und/oder Sekundärmarkt übereinstimmen; </w:t>
      </w:r>
    </w:p>
    <w:p w14:paraId="0209169F"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jegliche Anzeichen, Beweise oder Annahmen, dass der Investor sein Interesse in der Erwartung einer Reduktion übertrieben hat;</w:t>
      </w:r>
    </w:p>
    <w:p w14:paraId="31B57966"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Gesamtnachfrage;</w:t>
      </w:r>
    </w:p>
    <w:p w14:paraId="19FF1B45" w14:textId="43A0D523"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 xml:space="preserve">erwartete Nachhandelsentwicklung (d. h. inwieweit sich ein Emittent-Kunde auf die Nachhandelsentwicklung </w:t>
      </w:r>
      <w:r w:rsidR="001747C6">
        <w:rPr>
          <w:sz w:val="20"/>
        </w:rPr>
        <w:t>oder die</w:t>
      </w:r>
      <w:r w:rsidRPr="001747C6">
        <w:rPr>
          <w:sz w:val="20"/>
        </w:rPr>
        <w:t xml:space="preserve"> maximalen </w:t>
      </w:r>
      <w:r w:rsidR="001747C6">
        <w:rPr>
          <w:sz w:val="20"/>
        </w:rPr>
        <w:t>Tag</w:t>
      </w:r>
      <w:r w:rsidRPr="001747C6">
        <w:rPr>
          <w:sz w:val="20"/>
        </w:rPr>
        <w:t>-1-Bewertung/-Preis konzentriert);</w:t>
      </w:r>
    </w:p>
    <w:p w14:paraId="6AC5EF0B"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alle geltenden Verkaufsbeschränkungen in Rechtsgebieten, mit denen der Anleger verbunden ist;</w:t>
      </w:r>
    </w:p>
    <w:p w14:paraId="4670760D"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jegliche Anforderungen an den Streubesitz oder vergleichbare Anforderungen an Notierung, Handel oder zur Aufnahme in einen Index;</w:t>
      </w:r>
    </w:p>
    <w:p w14:paraId="636DB0B4" w14:textId="77777777" w:rsidR="00897D5D" w:rsidRPr="001747C6" w:rsidRDefault="00897D5D" w:rsidP="00830CAC">
      <w:pPr>
        <w:pStyle w:val="ListParagraph"/>
        <w:numPr>
          <w:ilvl w:val="2"/>
          <w:numId w:val="2"/>
        </w:numPr>
        <w:tabs>
          <w:tab w:val="left" w:pos="1388"/>
          <w:tab w:val="left" w:pos="1390"/>
        </w:tabs>
        <w:spacing w:line="276" w:lineRule="auto"/>
        <w:ind w:right="716"/>
        <w:rPr>
          <w:sz w:val="20"/>
        </w:rPr>
      </w:pPr>
      <w:r w:rsidRPr="001747C6">
        <w:rPr>
          <w:sz w:val="20"/>
        </w:rPr>
        <w:t>Konzentration (d.h. Präferenzen in Bezug auf Größe und Anzahl großer, mittlerer und/ oder kleinerer Bestände);</w:t>
      </w:r>
    </w:p>
    <w:p w14:paraId="0220DD62"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Vermeidung der Zuteilungen von ungeeigneten oder unwirtschaftlichen Größen;</w:t>
      </w:r>
    </w:p>
    <w:p w14:paraId="41D9B2F9"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die Beteiligung des Investors an früheren Angeboten, die durch Konzerngesellschaften gezeichnet oder zugeteilt wurden, sowie die Qualität und Struktur dieser Beteiligung; sowie</w:t>
      </w:r>
    </w:p>
    <w:p w14:paraId="57B3C10A" w14:textId="77777777" w:rsidR="00897D5D" w:rsidRPr="001747C6" w:rsidRDefault="00897D5D" w:rsidP="00830CAC">
      <w:pPr>
        <w:pStyle w:val="ListParagraph"/>
        <w:numPr>
          <w:ilvl w:val="2"/>
          <w:numId w:val="2"/>
        </w:numPr>
        <w:tabs>
          <w:tab w:val="left" w:pos="1390"/>
        </w:tabs>
        <w:spacing w:line="276" w:lineRule="auto"/>
        <w:ind w:right="716"/>
        <w:rPr>
          <w:sz w:val="20"/>
        </w:rPr>
      </w:pPr>
      <w:r w:rsidRPr="001747C6">
        <w:rPr>
          <w:sz w:val="20"/>
        </w:rPr>
        <w:t>Geschützte Aufträge.</w:t>
      </w:r>
    </w:p>
    <w:p w14:paraId="4399D234" w14:textId="77777777" w:rsidR="00E02435" w:rsidRDefault="00E02435">
      <w:pPr>
        <w:pStyle w:val="BodyText"/>
        <w:spacing w:before="139"/>
      </w:pPr>
    </w:p>
    <w:p w14:paraId="7F21DDB8" w14:textId="77777777" w:rsidR="00E02435" w:rsidRDefault="00384525">
      <w:pPr>
        <w:pStyle w:val="Heading1"/>
        <w:numPr>
          <w:ilvl w:val="0"/>
          <w:numId w:val="2"/>
        </w:numPr>
        <w:tabs>
          <w:tab w:val="left" w:pos="1226"/>
        </w:tabs>
      </w:pPr>
      <w:bookmarkStart w:id="6" w:name="_bookmark6"/>
      <w:bookmarkEnd w:id="6"/>
      <w:r>
        <w:rPr>
          <w:color w:val="0017A8"/>
          <w:spacing w:val="-2"/>
        </w:rPr>
        <w:t>Zuteilungsprozess</w:t>
      </w:r>
    </w:p>
    <w:p w14:paraId="5143CAF6" w14:textId="5293A72C" w:rsidR="00E02435" w:rsidRDefault="00384525">
      <w:pPr>
        <w:pStyle w:val="BodyText"/>
        <w:spacing w:before="256" w:line="252" w:lineRule="auto"/>
        <w:ind w:left="518" w:right="717"/>
        <w:jc w:val="both"/>
      </w:pPr>
      <w:r>
        <w:t>Die</w:t>
      </w:r>
      <w:r>
        <w:rPr>
          <w:spacing w:val="-2"/>
        </w:rPr>
        <w:t xml:space="preserve"> </w:t>
      </w:r>
      <w:r>
        <w:t>Bank</w:t>
      </w:r>
      <w:r>
        <w:rPr>
          <w:spacing w:val="-3"/>
        </w:rPr>
        <w:t xml:space="preserve"> </w:t>
      </w:r>
      <w:r>
        <w:t>ha</w:t>
      </w:r>
      <w:r w:rsidR="008836EF">
        <w:t>t</w:t>
      </w:r>
      <w:r>
        <w:rPr>
          <w:spacing w:val="-3"/>
        </w:rPr>
        <w:t xml:space="preserve"> </w:t>
      </w:r>
      <w:r>
        <w:t>bei</w:t>
      </w:r>
      <w:r>
        <w:rPr>
          <w:spacing w:val="-3"/>
        </w:rPr>
        <w:t xml:space="preserve"> </w:t>
      </w:r>
      <w:r>
        <w:t>der</w:t>
      </w:r>
      <w:r>
        <w:rPr>
          <w:spacing w:val="-2"/>
        </w:rPr>
        <w:t xml:space="preserve"> </w:t>
      </w:r>
      <w:r>
        <w:t>Organisation</w:t>
      </w:r>
      <w:r>
        <w:rPr>
          <w:spacing w:val="-4"/>
        </w:rPr>
        <w:t xml:space="preserve"> </w:t>
      </w:r>
      <w:r>
        <w:t>des</w:t>
      </w:r>
      <w:r>
        <w:rPr>
          <w:spacing w:val="-1"/>
        </w:rPr>
        <w:t xml:space="preserve"> </w:t>
      </w:r>
      <w:r>
        <w:t>Zuteilungsprozesses und</w:t>
      </w:r>
      <w:r>
        <w:rPr>
          <w:spacing w:val="-1"/>
        </w:rPr>
        <w:t xml:space="preserve"> </w:t>
      </w:r>
      <w:r>
        <w:t>der</w:t>
      </w:r>
      <w:r>
        <w:rPr>
          <w:spacing w:val="-2"/>
        </w:rPr>
        <w:t xml:space="preserve"> </w:t>
      </w:r>
      <w:r>
        <w:t>Auswahl</w:t>
      </w:r>
      <w:r>
        <w:rPr>
          <w:spacing w:val="-4"/>
        </w:rPr>
        <w:t xml:space="preserve"> </w:t>
      </w:r>
      <w:r>
        <w:t>von</w:t>
      </w:r>
      <w:r>
        <w:rPr>
          <w:spacing w:val="-4"/>
        </w:rPr>
        <w:t xml:space="preserve"> </w:t>
      </w:r>
      <w:r>
        <w:t>Investoren</w:t>
      </w:r>
      <w:r>
        <w:rPr>
          <w:spacing w:val="-4"/>
        </w:rPr>
        <w:t xml:space="preserve"> </w:t>
      </w:r>
      <w:r>
        <w:t>für Kapitalmarkttransaktionen</w:t>
      </w:r>
      <w:r>
        <w:rPr>
          <w:spacing w:val="-14"/>
        </w:rPr>
        <w:t xml:space="preserve"> </w:t>
      </w:r>
      <w:r>
        <w:t>ausschließlich</w:t>
      </w:r>
      <w:r>
        <w:rPr>
          <w:spacing w:val="-12"/>
        </w:rPr>
        <w:t xml:space="preserve"> </w:t>
      </w:r>
      <w:r w:rsidR="00830CAC">
        <w:rPr>
          <w:spacing w:val="-12"/>
        </w:rPr>
        <w:tab/>
      </w:r>
      <w:r>
        <w:t>für</w:t>
      </w:r>
      <w:r>
        <w:rPr>
          <w:spacing w:val="-12"/>
        </w:rPr>
        <w:t xml:space="preserve"> </w:t>
      </w:r>
      <w:r>
        <w:t>den</w:t>
      </w:r>
      <w:r>
        <w:rPr>
          <w:spacing w:val="-12"/>
        </w:rPr>
        <w:t xml:space="preserve"> </w:t>
      </w:r>
      <w:r>
        <w:t>Emittenten/</w:t>
      </w:r>
      <w:r>
        <w:rPr>
          <w:spacing w:val="-12"/>
        </w:rPr>
        <w:t xml:space="preserve"> </w:t>
      </w:r>
      <w:r>
        <w:t>Anbieter</w:t>
      </w:r>
      <w:r w:rsidR="008836EF">
        <w:t xml:space="preserve"> zu </w:t>
      </w:r>
      <w:r>
        <w:t>handeln.</w:t>
      </w:r>
      <w:r>
        <w:rPr>
          <w:spacing w:val="-12"/>
        </w:rPr>
        <w:t xml:space="preserve"> </w:t>
      </w:r>
      <w:r>
        <w:t>Allgemein</w:t>
      </w:r>
      <w:r>
        <w:rPr>
          <w:spacing w:val="-12"/>
        </w:rPr>
        <w:t xml:space="preserve"> </w:t>
      </w:r>
      <w:r>
        <w:t>gilt,</w:t>
      </w:r>
      <w:r>
        <w:rPr>
          <w:spacing w:val="-12"/>
        </w:rPr>
        <w:t xml:space="preserve"> </w:t>
      </w:r>
      <w:r>
        <w:t>dass</w:t>
      </w:r>
      <w:r>
        <w:rPr>
          <w:spacing w:val="-12"/>
        </w:rPr>
        <w:t xml:space="preserve"> </w:t>
      </w:r>
      <w:r>
        <w:t>die</w:t>
      </w:r>
      <w:r>
        <w:rPr>
          <w:spacing w:val="-12"/>
        </w:rPr>
        <w:t xml:space="preserve"> </w:t>
      </w:r>
      <w:r>
        <w:t xml:space="preserve">Bank, sofern vorhanden, die Anweisungen und Präferenzen befolgt, die sie von dem Emittenten/ Anbieter </w:t>
      </w:r>
      <w:r>
        <w:rPr>
          <w:spacing w:val="-2"/>
        </w:rPr>
        <w:t>erhält.</w:t>
      </w:r>
    </w:p>
    <w:p w14:paraId="30CE2798" w14:textId="77777777" w:rsidR="00E02435" w:rsidRDefault="00384525">
      <w:pPr>
        <w:pStyle w:val="BodyText"/>
        <w:spacing w:before="121" w:line="252" w:lineRule="auto"/>
        <w:ind w:left="518" w:right="717"/>
        <w:jc w:val="both"/>
      </w:pPr>
      <w:r>
        <w:t>Die</w:t>
      </w:r>
      <w:r>
        <w:rPr>
          <w:spacing w:val="-7"/>
        </w:rPr>
        <w:t xml:space="preserve"> </w:t>
      </w:r>
      <w:r>
        <w:t>Bank</w:t>
      </w:r>
      <w:r>
        <w:rPr>
          <w:spacing w:val="-8"/>
        </w:rPr>
        <w:t xml:space="preserve"> </w:t>
      </w:r>
      <w:r>
        <w:t>verpflichtet</w:t>
      </w:r>
      <w:r>
        <w:rPr>
          <w:spacing w:val="-7"/>
        </w:rPr>
        <w:t xml:space="preserve"> </w:t>
      </w:r>
      <w:r>
        <w:t>sich,</w:t>
      </w:r>
      <w:r>
        <w:rPr>
          <w:spacing w:val="-6"/>
        </w:rPr>
        <w:t xml:space="preserve"> </w:t>
      </w:r>
      <w:r>
        <w:t>bei</w:t>
      </w:r>
      <w:r>
        <w:rPr>
          <w:spacing w:val="-9"/>
        </w:rPr>
        <w:t xml:space="preserve"> </w:t>
      </w:r>
      <w:r>
        <w:t>der</w:t>
      </w:r>
      <w:r>
        <w:rPr>
          <w:spacing w:val="-9"/>
        </w:rPr>
        <w:t xml:space="preserve"> </w:t>
      </w:r>
      <w:r>
        <w:t>Vermarktung</w:t>
      </w:r>
      <w:r>
        <w:rPr>
          <w:spacing w:val="-8"/>
        </w:rPr>
        <w:t xml:space="preserve"> </w:t>
      </w:r>
      <w:r>
        <w:t>und</w:t>
      </w:r>
      <w:r>
        <w:rPr>
          <w:spacing w:val="-8"/>
        </w:rPr>
        <w:t xml:space="preserve"> </w:t>
      </w:r>
      <w:r>
        <w:t>Investorenauswahl,</w:t>
      </w:r>
      <w:r>
        <w:rPr>
          <w:spacing w:val="-6"/>
        </w:rPr>
        <w:t xml:space="preserve"> </w:t>
      </w:r>
      <w:r>
        <w:t>einschließlich</w:t>
      </w:r>
      <w:r>
        <w:rPr>
          <w:spacing w:val="-7"/>
        </w:rPr>
        <w:t xml:space="preserve"> </w:t>
      </w:r>
      <w:r>
        <w:t>der</w:t>
      </w:r>
      <w:r>
        <w:rPr>
          <w:spacing w:val="-6"/>
        </w:rPr>
        <w:t xml:space="preserve"> </w:t>
      </w:r>
      <w:r>
        <w:t>Organisa- tion von Marktsondierungen, Roadshows sowie dem Zuteilungsprozess selbst, angemessen mit möglichen</w:t>
      </w:r>
      <w:r>
        <w:rPr>
          <w:spacing w:val="-5"/>
        </w:rPr>
        <w:t xml:space="preserve"> </w:t>
      </w:r>
      <w:r>
        <w:t>Interessenkonflikten</w:t>
      </w:r>
      <w:r>
        <w:rPr>
          <w:spacing w:val="-5"/>
        </w:rPr>
        <w:t xml:space="preserve"> </w:t>
      </w:r>
      <w:r>
        <w:t>umzugehen</w:t>
      </w:r>
      <w:r>
        <w:rPr>
          <w:spacing w:val="-6"/>
        </w:rPr>
        <w:t xml:space="preserve"> </w:t>
      </w:r>
      <w:r>
        <w:t>und</w:t>
      </w:r>
      <w:r>
        <w:rPr>
          <w:spacing w:val="-5"/>
        </w:rPr>
        <w:t xml:space="preserve"> </w:t>
      </w:r>
      <w:r>
        <w:t>ihre</w:t>
      </w:r>
      <w:r>
        <w:rPr>
          <w:spacing w:val="-3"/>
        </w:rPr>
        <w:t xml:space="preserve"> </w:t>
      </w:r>
      <w:r>
        <w:t>Prozesse vernünftig,</w:t>
      </w:r>
      <w:r>
        <w:rPr>
          <w:spacing w:val="-4"/>
        </w:rPr>
        <w:t xml:space="preserve"> </w:t>
      </w:r>
      <w:r>
        <w:t>gerecht</w:t>
      </w:r>
      <w:r>
        <w:rPr>
          <w:spacing w:val="-5"/>
        </w:rPr>
        <w:t xml:space="preserve"> </w:t>
      </w:r>
      <w:r>
        <w:t>und</w:t>
      </w:r>
      <w:r>
        <w:rPr>
          <w:spacing w:val="-5"/>
        </w:rPr>
        <w:t xml:space="preserve"> </w:t>
      </w:r>
      <w:r>
        <w:t xml:space="preserve">ordnungsge- </w:t>
      </w:r>
      <w:r>
        <w:lastRenderedPageBreak/>
        <w:t>mäß zu gestalten.</w:t>
      </w:r>
    </w:p>
    <w:p w14:paraId="6FD1BF18" w14:textId="04E34B11" w:rsidR="00E02435" w:rsidRDefault="00384525">
      <w:pPr>
        <w:pStyle w:val="BodyText"/>
        <w:spacing w:before="120" w:line="252" w:lineRule="auto"/>
        <w:ind w:left="518" w:right="716"/>
        <w:jc w:val="both"/>
      </w:pPr>
      <w:r>
        <w:t xml:space="preserve">Die Bank verfügt über Systeme und Kontrollen, um Interessenkonflikte im Zusammenhang mit der Entwicklung von Zuteilungsvorschlägen und der </w:t>
      </w:r>
      <w:r w:rsidR="00F00723">
        <w:t xml:space="preserve">Über </w:t>
      </w:r>
      <w:r>
        <w:t xml:space="preserve">- oder </w:t>
      </w:r>
      <w:r w:rsidR="00F00723">
        <w:t>Unter</w:t>
      </w:r>
      <w:r>
        <w:t>bewertung eines Angebots von Wertpapieren zu vermeiden oder zu managen. Die Bank verfolgt stets das Ziel, für den Emittenten/ Anbieter</w:t>
      </w:r>
      <w:r>
        <w:rPr>
          <w:spacing w:val="-4"/>
        </w:rPr>
        <w:t xml:space="preserve"> </w:t>
      </w:r>
      <w:r>
        <w:t>innerhalb</w:t>
      </w:r>
      <w:r>
        <w:rPr>
          <w:spacing w:val="-4"/>
        </w:rPr>
        <w:t xml:space="preserve"> </w:t>
      </w:r>
      <w:r>
        <w:t>des</w:t>
      </w:r>
      <w:r>
        <w:rPr>
          <w:spacing w:val="-6"/>
        </w:rPr>
        <w:t xml:space="preserve"> </w:t>
      </w:r>
      <w:r>
        <w:t>vereinbarten</w:t>
      </w:r>
      <w:r>
        <w:rPr>
          <w:spacing w:val="-6"/>
        </w:rPr>
        <w:t xml:space="preserve"> </w:t>
      </w:r>
      <w:r>
        <w:t>Zeitplans</w:t>
      </w:r>
      <w:r>
        <w:rPr>
          <w:spacing w:val="-3"/>
        </w:rPr>
        <w:t xml:space="preserve"> </w:t>
      </w:r>
      <w:r>
        <w:t>und</w:t>
      </w:r>
      <w:r>
        <w:rPr>
          <w:spacing w:val="-7"/>
        </w:rPr>
        <w:t xml:space="preserve"> </w:t>
      </w:r>
      <w:r>
        <w:t>Umfangs</w:t>
      </w:r>
      <w:r>
        <w:rPr>
          <w:spacing w:val="-5"/>
        </w:rPr>
        <w:t xml:space="preserve"> </w:t>
      </w:r>
      <w:r>
        <w:t>des</w:t>
      </w:r>
      <w:r>
        <w:rPr>
          <w:spacing w:val="-7"/>
        </w:rPr>
        <w:t xml:space="preserve"> </w:t>
      </w:r>
      <w:r>
        <w:t>Angebots,</w:t>
      </w:r>
      <w:r>
        <w:rPr>
          <w:spacing w:val="-5"/>
        </w:rPr>
        <w:t xml:space="preserve"> </w:t>
      </w:r>
      <w:r>
        <w:t>eine</w:t>
      </w:r>
      <w:r>
        <w:rPr>
          <w:spacing w:val="-7"/>
        </w:rPr>
        <w:t xml:space="preserve"> </w:t>
      </w:r>
      <w:r>
        <w:t>optimale</w:t>
      </w:r>
      <w:r>
        <w:rPr>
          <w:spacing w:val="-3"/>
        </w:rPr>
        <w:t xml:space="preserve"> </w:t>
      </w:r>
      <w:r>
        <w:t>Aufteilung unter den Investoren und den bestmöglichen Preis zu erzielen.</w:t>
      </w:r>
    </w:p>
    <w:p w14:paraId="38AACF00" w14:textId="0105C2B0" w:rsidR="00E02435" w:rsidRDefault="00384525" w:rsidP="00830CAC">
      <w:pPr>
        <w:pStyle w:val="BodyText"/>
        <w:spacing w:before="119" w:line="252" w:lineRule="auto"/>
        <w:ind w:left="518" w:right="721"/>
        <w:jc w:val="both"/>
      </w:pPr>
      <w:r>
        <w:t>Der Zuteilungsprozess ist eine Ermessensfrage und beruht auf der Erfahrung der Bank bei der Un- terbreitung</w:t>
      </w:r>
      <w:r>
        <w:rPr>
          <w:spacing w:val="9"/>
        </w:rPr>
        <w:t xml:space="preserve"> </w:t>
      </w:r>
      <w:r>
        <w:t>von</w:t>
      </w:r>
      <w:r>
        <w:rPr>
          <w:spacing w:val="10"/>
        </w:rPr>
        <w:t xml:space="preserve"> </w:t>
      </w:r>
      <w:r>
        <w:t>Angeboten</w:t>
      </w:r>
      <w:r>
        <w:rPr>
          <w:spacing w:val="12"/>
        </w:rPr>
        <w:t xml:space="preserve"> </w:t>
      </w:r>
      <w:r>
        <w:t>für</w:t>
      </w:r>
      <w:r>
        <w:rPr>
          <w:spacing w:val="9"/>
        </w:rPr>
        <w:t xml:space="preserve"> </w:t>
      </w:r>
      <w:r>
        <w:t>Wertpapiere.</w:t>
      </w:r>
      <w:r>
        <w:rPr>
          <w:spacing w:val="10"/>
        </w:rPr>
        <w:t xml:space="preserve"> </w:t>
      </w:r>
      <w:r w:rsidR="00830CAC">
        <w:rPr>
          <w:spacing w:val="10"/>
        </w:rPr>
        <w:t xml:space="preserve">Keiner </w:t>
      </w:r>
      <w:r>
        <w:t>der</w:t>
      </w:r>
      <w:r>
        <w:rPr>
          <w:spacing w:val="10"/>
        </w:rPr>
        <w:t xml:space="preserve"> </w:t>
      </w:r>
      <w:r>
        <w:t>unter</w:t>
      </w:r>
      <w:r>
        <w:rPr>
          <w:spacing w:val="13"/>
        </w:rPr>
        <w:t xml:space="preserve"> </w:t>
      </w:r>
      <w:r>
        <w:t>Gliederungspunkt</w:t>
      </w:r>
      <w:r>
        <w:rPr>
          <w:spacing w:val="9"/>
        </w:rPr>
        <w:t xml:space="preserve"> </w:t>
      </w:r>
      <w:r>
        <w:rPr>
          <w:spacing w:val="-5"/>
        </w:rPr>
        <w:t>3.1</w:t>
      </w:r>
      <w:r w:rsidR="00830CAC">
        <w:rPr>
          <w:spacing w:val="-5"/>
        </w:rPr>
        <w:t xml:space="preserve"> aufgeführten Faktoren für sich genommen ist für die Zuteilung ausschlaggebend;</w:t>
      </w:r>
      <w:r w:rsidR="00830CAC">
        <w:t xml:space="preserve"> die besonderen </w:t>
      </w:r>
      <w:r>
        <w:t>Umstände</w:t>
      </w:r>
      <w:r w:rsidR="00830CAC">
        <w:t xml:space="preserve"> und Konstellationen aufseiten </w:t>
      </w:r>
      <w:r>
        <w:t>des Emittenten/ Anbieters</w:t>
      </w:r>
      <w:r w:rsidR="00830CAC">
        <w:t xml:space="preserve"> und</w:t>
      </w:r>
      <w:r>
        <w:t xml:space="preserve"> der Investoren </w:t>
      </w:r>
      <w:r w:rsidR="00830CAC">
        <w:t>haben ebenfalls großen Einfluss</w:t>
      </w:r>
      <w:r>
        <w:t>.</w:t>
      </w:r>
    </w:p>
    <w:p w14:paraId="0BD3FC49" w14:textId="77777777" w:rsidR="00E02435" w:rsidRDefault="00384525">
      <w:pPr>
        <w:pStyle w:val="BodyText"/>
        <w:spacing w:before="124" w:line="252" w:lineRule="auto"/>
        <w:ind w:left="518" w:right="714"/>
        <w:jc w:val="both"/>
      </w:pPr>
      <w:r>
        <w:t>Gemäß</w:t>
      </w:r>
      <w:r>
        <w:rPr>
          <w:spacing w:val="-8"/>
        </w:rPr>
        <w:t xml:space="preserve"> </w:t>
      </w:r>
      <w:r>
        <w:t>den</w:t>
      </w:r>
      <w:r>
        <w:rPr>
          <w:spacing w:val="-8"/>
        </w:rPr>
        <w:t xml:space="preserve"> </w:t>
      </w:r>
      <w:r>
        <w:t>unten,</w:t>
      </w:r>
      <w:r>
        <w:rPr>
          <w:spacing w:val="-8"/>
        </w:rPr>
        <w:t xml:space="preserve"> </w:t>
      </w:r>
      <w:r>
        <w:t>in</w:t>
      </w:r>
      <w:r>
        <w:rPr>
          <w:spacing w:val="-9"/>
        </w:rPr>
        <w:t xml:space="preserve"> </w:t>
      </w:r>
      <w:r>
        <w:t>Abschnitt</w:t>
      </w:r>
      <w:r>
        <w:rPr>
          <w:spacing w:val="-6"/>
        </w:rPr>
        <w:t xml:space="preserve"> </w:t>
      </w:r>
      <w:r>
        <w:t>4.1,</w:t>
      </w:r>
      <w:r>
        <w:rPr>
          <w:spacing w:val="-9"/>
        </w:rPr>
        <w:t xml:space="preserve"> </w:t>
      </w:r>
      <w:r>
        <w:t>beschriebenen</w:t>
      </w:r>
      <w:r>
        <w:rPr>
          <w:spacing w:val="-9"/>
        </w:rPr>
        <w:t xml:space="preserve"> </w:t>
      </w:r>
      <w:r>
        <w:t>Schritten</w:t>
      </w:r>
      <w:r>
        <w:rPr>
          <w:spacing w:val="-7"/>
        </w:rPr>
        <w:t xml:space="preserve"> </w:t>
      </w:r>
      <w:r>
        <w:t>wird</w:t>
      </w:r>
      <w:r>
        <w:rPr>
          <w:spacing w:val="-6"/>
        </w:rPr>
        <w:t xml:space="preserve"> </w:t>
      </w:r>
      <w:r>
        <w:t>ein</w:t>
      </w:r>
      <w:r>
        <w:rPr>
          <w:spacing w:val="-9"/>
        </w:rPr>
        <w:t xml:space="preserve"> </w:t>
      </w:r>
      <w:r>
        <w:t>abschließender</w:t>
      </w:r>
      <w:r>
        <w:rPr>
          <w:spacing w:val="-3"/>
        </w:rPr>
        <w:t xml:space="preserve"> </w:t>
      </w:r>
      <w:r>
        <w:t>Zuteilungsplan mit einem Preis ausgearbeitet, der mit dem Emittenten/Anbieter abgestimmt wurde und dessen In- teressen</w:t>
      </w:r>
      <w:r>
        <w:rPr>
          <w:spacing w:val="-5"/>
        </w:rPr>
        <w:t xml:space="preserve"> </w:t>
      </w:r>
      <w:r>
        <w:t>Vorrang</w:t>
      </w:r>
      <w:r>
        <w:rPr>
          <w:spacing w:val="-5"/>
        </w:rPr>
        <w:t xml:space="preserve"> </w:t>
      </w:r>
      <w:r>
        <w:t>vor</w:t>
      </w:r>
      <w:r>
        <w:rPr>
          <w:spacing w:val="-5"/>
        </w:rPr>
        <w:t xml:space="preserve"> </w:t>
      </w:r>
      <w:r>
        <w:t>den</w:t>
      </w:r>
      <w:r>
        <w:rPr>
          <w:spacing w:val="-3"/>
        </w:rPr>
        <w:t xml:space="preserve"> </w:t>
      </w:r>
      <w:r>
        <w:t>der</w:t>
      </w:r>
      <w:r>
        <w:rPr>
          <w:spacing w:val="-5"/>
        </w:rPr>
        <w:t xml:space="preserve"> </w:t>
      </w:r>
      <w:r>
        <w:t>Investoren</w:t>
      </w:r>
      <w:r>
        <w:rPr>
          <w:spacing w:val="-6"/>
        </w:rPr>
        <w:t xml:space="preserve"> </w:t>
      </w:r>
      <w:r>
        <w:t>(die</w:t>
      </w:r>
      <w:r>
        <w:rPr>
          <w:spacing w:val="-3"/>
        </w:rPr>
        <w:t xml:space="preserve"> </w:t>
      </w:r>
      <w:r>
        <w:t>ebenfalls</w:t>
      </w:r>
      <w:r>
        <w:rPr>
          <w:spacing w:val="-4"/>
        </w:rPr>
        <w:t xml:space="preserve"> </w:t>
      </w:r>
      <w:r>
        <w:t>Kunden</w:t>
      </w:r>
      <w:r>
        <w:rPr>
          <w:spacing w:val="-3"/>
        </w:rPr>
        <w:t xml:space="preserve"> </w:t>
      </w:r>
      <w:r>
        <w:t>der</w:t>
      </w:r>
      <w:r>
        <w:rPr>
          <w:spacing w:val="-5"/>
        </w:rPr>
        <w:t xml:space="preserve"> </w:t>
      </w:r>
      <w:r>
        <w:t>Bank</w:t>
      </w:r>
      <w:r>
        <w:rPr>
          <w:spacing w:val="-4"/>
        </w:rPr>
        <w:t xml:space="preserve"> </w:t>
      </w:r>
      <w:r>
        <w:t>sein</w:t>
      </w:r>
      <w:r>
        <w:rPr>
          <w:spacing w:val="-5"/>
        </w:rPr>
        <w:t xml:space="preserve"> </w:t>
      </w:r>
      <w:r>
        <w:t>können)</w:t>
      </w:r>
      <w:r>
        <w:rPr>
          <w:spacing w:val="-5"/>
        </w:rPr>
        <w:t xml:space="preserve"> </w:t>
      </w:r>
      <w:r>
        <w:t>oder</w:t>
      </w:r>
      <w:r>
        <w:rPr>
          <w:spacing w:val="-5"/>
        </w:rPr>
        <w:t xml:space="preserve"> </w:t>
      </w:r>
      <w:r>
        <w:t>der</w:t>
      </w:r>
      <w:r>
        <w:rPr>
          <w:spacing w:val="-3"/>
        </w:rPr>
        <w:t xml:space="preserve"> </w:t>
      </w:r>
      <w:r>
        <w:t>Bank selbst einräumt.</w:t>
      </w:r>
    </w:p>
    <w:p w14:paraId="5E82225B" w14:textId="77777777" w:rsidR="00E02435" w:rsidRDefault="00384525">
      <w:pPr>
        <w:pStyle w:val="BodyText"/>
        <w:spacing w:before="121" w:line="252" w:lineRule="auto"/>
        <w:ind w:left="518" w:right="716"/>
        <w:jc w:val="both"/>
      </w:pPr>
      <w:r>
        <w:t>Zusätzlich zielt die Bank darauf ab, durch das Befolgen der Schritte in Abschnitt 3.1 zum Erreichen vereinbarter Kundenziele im Zuteilungsprozess sowie in Abschnitt 5 über beschränkte Zuteilungen, die</w:t>
      </w:r>
      <w:r>
        <w:rPr>
          <w:spacing w:val="-12"/>
        </w:rPr>
        <w:t xml:space="preserve"> </w:t>
      </w:r>
      <w:r>
        <w:t>Interessen</w:t>
      </w:r>
      <w:r>
        <w:rPr>
          <w:spacing w:val="-12"/>
        </w:rPr>
        <w:t xml:space="preserve"> </w:t>
      </w:r>
      <w:r>
        <w:t>anderer</w:t>
      </w:r>
      <w:r>
        <w:rPr>
          <w:spacing w:val="-12"/>
        </w:rPr>
        <w:t xml:space="preserve"> </w:t>
      </w:r>
      <w:r>
        <w:t>Kunden,</w:t>
      </w:r>
      <w:r>
        <w:rPr>
          <w:spacing w:val="-12"/>
        </w:rPr>
        <w:t xml:space="preserve"> </w:t>
      </w:r>
      <w:r>
        <w:t>von</w:t>
      </w:r>
      <w:r>
        <w:rPr>
          <w:spacing w:val="-12"/>
        </w:rPr>
        <w:t xml:space="preserve"> </w:t>
      </w:r>
      <w:r>
        <w:t>Investoren</w:t>
      </w:r>
      <w:r>
        <w:rPr>
          <w:spacing w:val="-12"/>
        </w:rPr>
        <w:t xml:space="preserve"> </w:t>
      </w:r>
      <w:r>
        <w:t>oder</w:t>
      </w:r>
      <w:r>
        <w:rPr>
          <w:spacing w:val="-12"/>
        </w:rPr>
        <w:t xml:space="preserve"> </w:t>
      </w:r>
      <w:r>
        <w:t>ihre</w:t>
      </w:r>
      <w:r>
        <w:rPr>
          <w:spacing w:val="-12"/>
        </w:rPr>
        <w:t xml:space="preserve"> </w:t>
      </w:r>
      <w:r>
        <w:t>eigenen</w:t>
      </w:r>
      <w:r>
        <w:rPr>
          <w:spacing w:val="-12"/>
        </w:rPr>
        <w:t xml:space="preserve"> </w:t>
      </w:r>
      <w:r>
        <w:t>nicht</w:t>
      </w:r>
      <w:r>
        <w:rPr>
          <w:spacing w:val="-12"/>
        </w:rPr>
        <w:t xml:space="preserve"> </w:t>
      </w:r>
      <w:r>
        <w:t>in</w:t>
      </w:r>
      <w:r>
        <w:rPr>
          <w:spacing w:val="-12"/>
        </w:rPr>
        <w:t xml:space="preserve"> </w:t>
      </w:r>
      <w:r>
        <w:t>einer</w:t>
      </w:r>
      <w:r>
        <w:rPr>
          <w:spacing w:val="-12"/>
        </w:rPr>
        <w:t xml:space="preserve"> </w:t>
      </w:r>
      <w:r>
        <w:t>Weise</w:t>
      </w:r>
      <w:r>
        <w:rPr>
          <w:spacing w:val="-12"/>
        </w:rPr>
        <w:t xml:space="preserve"> </w:t>
      </w:r>
      <w:r>
        <w:t>zu</w:t>
      </w:r>
      <w:r>
        <w:rPr>
          <w:spacing w:val="-12"/>
        </w:rPr>
        <w:t xml:space="preserve"> </w:t>
      </w:r>
      <w:r>
        <w:t>fördern,</w:t>
      </w:r>
      <w:r>
        <w:rPr>
          <w:spacing w:val="-12"/>
        </w:rPr>
        <w:t xml:space="preserve"> </w:t>
      </w:r>
      <w:r>
        <w:t>dass sie den Interessen des Emittenten /Anbieters entgegenstehen.</w:t>
      </w:r>
    </w:p>
    <w:p w14:paraId="416CF2D9" w14:textId="54A82787" w:rsidR="00E02435" w:rsidRDefault="00384525">
      <w:pPr>
        <w:pStyle w:val="BodyText"/>
        <w:spacing w:before="121" w:line="252" w:lineRule="auto"/>
        <w:ind w:left="518" w:right="713"/>
        <w:jc w:val="both"/>
      </w:pPr>
      <w:r>
        <w:t>Getrennt</w:t>
      </w:r>
      <w:r>
        <w:rPr>
          <w:spacing w:val="-5"/>
        </w:rPr>
        <w:t xml:space="preserve"> </w:t>
      </w:r>
      <w:r>
        <w:t>hiervon</w:t>
      </w:r>
      <w:r w:rsidR="00C0690A">
        <w:t xml:space="preserve"> </w:t>
      </w:r>
      <w:r>
        <w:t>wird</w:t>
      </w:r>
      <w:r>
        <w:rPr>
          <w:spacing w:val="-1"/>
        </w:rPr>
        <w:t xml:space="preserve"> </w:t>
      </w:r>
      <w:r>
        <w:t>eine</w:t>
      </w:r>
      <w:r>
        <w:rPr>
          <w:spacing w:val="-3"/>
        </w:rPr>
        <w:t xml:space="preserve"> </w:t>
      </w:r>
      <w:r>
        <w:t>fundierte</w:t>
      </w:r>
      <w:r>
        <w:rPr>
          <w:spacing w:val="-4"/>
        </w:rPr>
        <w:t xml:space="preserve"> </w:t>
      </w:r>
      <w:r>
        <w:t>Sicht</w:t>
      </w:r>
      <w:r>
        <w:rPr>
          <w:spacing w:val="-4"/>
        </w:rPr>
        <w:t xml:space="preserve"> </w:t>
      </w:r>
      <w:r>
        <w:t>der</w:t>
      </w:r>
      <w:r>
        <w:rPr>
          <w:spacing w:val="-3"/>
        </w:rPr>
        <w:t xml:space="preserve"> </w:t>
      </w:r>
      <w:r>
        <w:t>Preisgestaltung</w:t>
      </w:r>
      <w:r>
        <w:rPr>
          <w:spacing w:val="-3"/>
        </w:rPr>
        <w:t xml:space="preserve"> </w:t>
      </w:r>
      <w:r>
        <w:t>unter</w:t>
      </w:r>
      <w:r>
        <w:rPr>
          <w:spacing w:val="-4"/>
        </w:rPr>
        <w:t xml:space="preserve"> </w:t>
      </w:r>
      <w:r>
        <w:t>Berücksichtigung</w:t>
      </w:r>
      <w:r>
        <w:rPr>
          <w:spacing w:val="-2"/>
        </w:rPr>
        <w:t xml:space="preserve"> </w:t>
      </w:r>
      <w:r>
        <w:t>der</w:t>
      </w:r>
      <w:r>
        <w:rPr>
          <w:spacing w:val="-3"/>
        </w:rPr>
        <w:t xml:space="preserve"> </w:t>
      </w:r>
      <w:r>
        <w:t>Interes- sen</w:t>
      </w:r>
      <w:r>
        <w:rPr>
          <w:spacing w:val="-4"/>
        </w:rPr>
        <w:t xml:space="preserve"> </w:t>
      </w:r>
      <w:r>
        <w:t>des</w:t>
      </w:r>
      <w:r>
        <w:rPr>
          <w:spacing w:val="-3"/>
        </w:rPr>
        <w:t xml:space="preserve"> </w:t>
      </w:r>
      <w:r>
        <w:t>Kunden</w:t>
      </w:r>
      <w:r>
        <w:rPr>
          <w:spacing w:val="-4"/>
        </w:rPr>
        <w:t xml:space="preserve"> </w:t>
      </w:r>
      <w:r>
        <w:t>und</w:t>
      </w:r>
      <w:r>
        <w:rPr>
          <w:spacing w:val="-3"/>
        </w:rPr>
        <w:t xml:space="preserve"> </w:t>
      </w:r>
      <w:r>
        <w:t>aller</w:t>
      </w:r>
      <w:r>
        <w:rPr>
          <w:spacing w:val="-1"/>
        </w:rPr>
        <w:t xml:space="preserve"> </w:t>
      </w:r>
      <w:r>
        <w:t>relevanter</w:t>
      </w:r>
      <w:r>
        <w:rPr>
          <w:spacing w:val="-1"/>
        </w:rPr>
        <w:t xml:space="preserve"> </w:t>
      </w:r>
      <w:r>
        <w:t>Faktoren</w:t>
      </w:r>
      <w:r>
        <w:rPr>
          <w:spacing w:val="-4"/>
        </w:rPr>
        <w:t xml:space="preserve"> </w:t>
      </w:r>
      <w:r>
        <w:t>durch den</w:t>
      </w:r>
      <w:r>
        <w:rPr>
          <w:spacing w:val="-4"/>
        </w:rPr>
        <w:t xml:space="preserve"> </w:t>
      </w:r>
      <w:r>
        <w:t>Preisfindungsprozess in</w:t>
      </w:r>
      <w:r>
        <w:rPr>
          <w:spacing w:val="-3"/>
        </w:rPr>
        <w:t xml:space="preserve"> </w:t>
      </w:r>
      <w:r>
        <w:t>Abschnitt</w:t>
      </w:r>
      <w:r>
        <w:rPr>
          <w:spacing w:val="40"/>
        </w:rPr>
        <w:t xml:space="preserve"> </w:t>
      </w:r>
      <w:r>
        <w:t>4.2</w:t>
      </w:r>
      <w:r>
        <w:rPr>
          <w:spacing w:val="40"/>
        </w:rPr>
        <w:t xml:space="preserve"> </w:t>
      </w:r>
      <w:r>
        <w:t xml:space="preserve">er- </w:t>
      </w:r>
      <w:r>
        <w:rPr>
          <w:spacing w:val="-2"/>
        </w:rPr>
        <w:t>reicht.</w:t>
      </w:r>
    </w:p>
    <w:p w14:paraId="0BAD36FE" w14:textId="77777777" w:rsidR="00E02435" w:rsidRDefault="00384525" w:rsidP="002210C9">
      <w:pPr>
        <w:pStyle w:val="Heading1"/>
        <w:numPr>
          <w:ilvl w:val="1"/>
          <w:numId w:val="2"/>
        </w:numPr>
        <w:tabs>
          <w:tab w:val="left" w:pos="1226"/>
        </w:tabs>
        <w:spacing w:before="240" w:after="120" w:line="252" w:lineRule="auto"/>
        <w:ind w:left="1225" w:hanging="709"/>
      </w:pPr>
      <w:bookmarkStart w:id="7" w:name="_bookmark7"/>
      <w:bookmarkEnd w:id="7"/>
      <w:r>
        <w:rPr>
          <w:color w:val="0017A8"/>
        </w:rPr>
        <w:t>Zuteilungsprozess</w:t>
      </w:r>
      <w:r>
        <w:rPr>
          <w:color w:val="0017A8"/>
          <w:spacing w:val="-2"/>
        </w:rPr>
        <w:t xml:space="preserve"> </w:t>
      </w:r>
      <w:r>
        <w:rPr>
          <w:color w:val="0017A8"/>
        </w:rPr>
        <w:t>-</w:t>
      </w:r>
      <w:r>
        <w:rPr>
          <w:color w:val="0017A8"/>
          <w:spacing w:val="-2"/>
        </w:rPr>
        <w:t xml:space="preserve"> Einzelschritte</w:t>
      </w:r>
    </w:p>
    <w:p w14:paraId="5AF3F9B9" w14:textId="0719FAFD" w:rsidR="00E02435" w:rsidRDefault="00830CAC">
      <w:pPr>
        <w:pStyle w:val="BodyText"/>
        <w:ind w:left="518"/>
        <w:jc w:val="both"/>
      </w:pPr>
      <w:r w:rsidRPr="009E30D7">
        <w:t>Der Prozess der Bank zur Erlangung eines endgültigen Zuteilungsbuchs ist wie folgt</w:t>
      </w:r>
      <w:r>
        <w:rPr>
          <w:spacing w:val="-2"/>
        </w:rPr>
        <w:t>:</w:t>
      </w:r>
    </w:p>
    <w:p w14:paraId="5CC0171B" w14:textId="77777777" w:rsidR="00E02435" w:rsidRDefault="00384525">
      <w:pPr>
        <w:pStyle w:val="ListParagraph"/>
        <w:numPr>
          <w:ilvl w:val="2"/>
          <w:numId w:val="2"/>
        </w:numPr>
        <w:tabs>
          <w:tab w:val="left" w:pos="1388"/>
          <w:tab w:val="left" w:pos="1390"/>
        </w:tabs>
        <w:spacing w:before="239" w:line="276" w:lineRule="auto"/>
        <w:ind w:right="713"/>
        <w:rPr>
          <w:sz w:val="20"/>
        </w:rPr>
      </w:pPr>
      <w:r>
        <w:rPr>
          <w:sz w:val="20"/>
        </w:rPr>
        <w:t>Die</w:t>
      </w:r>
      <w:r>
        <w:rPr>
          <w:spacing w:val="-4"/>
          <w:sz w:val="20"/>
        </w:rPr>
        <w:t xml:space="preserve"> </w:t>
      </w:r>
      <w:r>
        <w:rPr>
          <w:sz w:val="20"/>
        </w:rPr>
        <w:t>Bank</w:t>
      </w:r>
      <w:r>
        <w:rPr>
          <w:spacing w:val="-3"/>
          <w:sz w:val="20"/>
        </w:rPr>
        <w:t xml:space="preserve"> </w:t>
      </w:r>
      <w:r>
        <w:rPr>
          <w:sz w:val="20"/>
        </w:rPr>
        <w:t>muss</w:t>
      </w:r>
      <w:r>
        <w:rPr>
          <w:spacing w:val="-3"/>
          <w:sz w:val="20"/>
        </w:rPr>
        <w:t xml:space="preserve"> </w:t>
      </w:r>
      <w:r>
        <w:rPr>
          <w:sz w:val="20"/>
        </w:rPr>
        <w:t>dem</w:t>
      </w:r>
      <w:r>
        <w:rPr>
          <w:spacing w:val="-5"/>
          <w:sz w:val="20"/>
        </w:rPr>
        <w:t xml:space="preserve"> </w:t>
      </w:r>
      <w:r>
        <w:rPr>
          <w:sz w:val="20"/>
        </w:rPr>
        <w:t>Emittenten/</w:t>
      </w:r>
      <w:r>
        <w:rPr>
          <w:spacing w:val="-4"/>
          <w:sz w:val="20"/>
        </w:rPr>
        <w:t xml:space="preserve"> </w:t>
      </w:r>
      <w:r>
        <w:rPr>
          <w:sz w:val="20"/>
        </w:rPr>
        <w:t>Anbieter</w:t>
      </w:r>
      <w:r>
        <w:rPr>
          <w:spacing w:val="-4"/>
          <w:sz w:val="20"/>
        </w:rPr>
        <w:t xml:space="preserve"> </w:t>
      </w:r>
      <w:r>
        <w:rPr>
          <w:sz w:val="20"/>
        </w:rPr>
        <w:t>vor</w:t>
      </w:r>
      <w:r>
        <w:rPr>
          <w:spacing w:val="-4"/>
          <w:sz w:val="20"/>
        </w:rPr>
        <w:t xml:space="preserve"> </w:t>
      </w:r>
      <w:r>
        <w:rPr>
          <w:sz w:val="20"/>
        </w:rPr>
        <w:t>Beginn</w:t>
      </w:r>
      <w:r>
        <w:rPr>
          <w:spacing w:val="-3"/>
          <w:sz w:val="20"/>
        </w:rPr>
        <w:t xml:space="preserve"> </w:t>
      </w:r>
      <w:r>
        <w:rPr>
          <w:sz w:val="20"/>
        </w:rPr>
        <w:t>des</w:t>
      </w:r>
      <w:r>
        <w:rPr>
          <w:spacing w:val="-3"/>
          <w:sz w:val="20"/>
        </w:rPr>
        <w:t xml:space="preserve"> </w:t>
      </w:r>
      <w:r>
        <w:rPr>
          <w:sz w:val="20"/>
        </w:rPr>
        <w:t>Bookbuilding-Prozesses</w:t>
      </w:r>
      <w:r>
        <w:rPr>
          <w:spacing w:val="-4"/>
          <w:sz w:val="20"/>
        </w:rPr>
        <w:t xml:space="preserve"> </w:t>
      </w:r>
      <w:r>
        <w:rPr>
          <w:sz w:val="20"/>
        </w:rPr>
        <w:t>eine</w:t>
      </w:r>
      <w:r>
        <w:rPr>
          <w:spacing w:val="-4"/>
          <w:sz w:val="20"/>
        </w:rPr>
        <w:t xml:space="preserve"> </w:t>
      </w:r>
      <w:r>
        <w:rPr>
          <w:sz w:val="20"/>
        </w:rPr>
        <w:t>ak- tuelle Kopie der Zuteilungsrichtlinie übersenden.</w:t>
      </w:r>
    </w:p>
    <w:p w14:paraId="50434C09" w14:textId="77777777" w:rsidR="00E02435" w:rsidRDefault="00384525">
      <w:pPr>
        <w:pStyle w:val="ListParagraph"/>
        <w:numPr>
          <w:ilvl w:val="2"/>
          <w:numId w:val="2"/>
        </w:numPr>
        <w:tabs>
          <w:tab w:val="left" w:pos="1388"/>
          <w:tab w:val="left" w:pos="1390"/>
        </w:tabs>
        <w:spacing w:line="278" w:lineRule="auto"/>
        <w:ind w:right="718"/>
        <w:rPr>
          <w:sz w:val="20"/>
        </w:rPr>
      </w:pPr>
      <w:r>
        <w:rPr>
          <w:sz w:val="20"/>
        </w:rPr>
        <w:t>Die Bank führt erste Gespräche mit dem Emittenten/ Anbieter und stimmt die vorgeschla- gene Zuteilung je Investorentyp mit diesem ab.</w:t>
      </w:r>
    </w:p>
    <w:p w14:paraId="40C8DE52" w14:textId="77777777" w:rsidR="00E02435" w:rsidRDefault="00384525">
      <w:pPr>
        <w:pStyle w:val="ListParagraph"/>
        <w:numPr>
          <w:ilvl w:val="2"/>
          <w:numId w:val="2"/>
        </w:numPr>
        <w:tabs>
          <w:tab w:val="left" w:pos="1388"/>
          <w:tab w:val="left" w:pos="1390"/>
        </w:tabs>
        <w:spacing w:line="276" w:lineRule="auto"/>
        <w:ind w:right="713"/>
        <w:rPr>
          <w:sz w:val="20"/>
        </w:rPr>
      </w:pPr>
      <w:r>
        <w:rPr>
          <w:sz w:val="20"/>
        </w:rPr>
        <w:t>Die</w:t>
      </w:r>
      <w:r>
        <w:rPr>
          <w:spacing w:val="-7"/>
          <w:sz w:val="20"/>
        </w:rPr>
        <w:t xml:space="preserve"> </w:t>
      </w:r>
      <w:r>
        <w:rPr>
          <w:sz w:val="20"/>
        </w:rPr>
        <w:t>Bank</w:t>
      </w:r>
      <w:r>
        <w:rPr>
          <w:spacing w:val="-6"/>
          <w:sz w:val="20"/>
        </w:rPr>
        <w:t xml:space="preserve"> </w:t>
      </w:r>
      <w:r>
        <w:rPr>
          <w:sz w:val="20"/>
        </w:rPr>
        <w:t>wird</w:t>
      </w:r>
      <w:r>
        <w:rPr>
          <w:spacing w:val="-6"/>
          <w:sz w:val="20"/>
        </w:rPr>
        <w:t xml:space="preserve"> </w:t>
      </w:r>
      <w:r>
        <w:rPr>
          <w:sz w:val="20"/>
        </w:rPr>
        <w:t>alle</w:t>
      </w:r>
      <w:r>
        <w:rPr>
          <w:spacing w:val="-7"/>
          <w:sz w:val="20"/>
        </w:rPr>
        <w:t xml:space="preserve"> </w:t>
      </w:r>
      <w:r>
        <w:rPr>
          <w:sz w:val="20"/>
        </w:rPr>
        <w:t>weiteren</w:t>
      </w:r>
      <w:r>
        <w:rPr>
          <w:spacing w:val="-7"/>
          <w:sz w:val="20"/>
        </w:rPr>
        <w:t xml:space="preserve"> </w:t>
      </w:r>
      <w:r>
        <w:rPr>
          <w:sz w:val="20"/>
        </w:rPr>
        <w:t>Diskussionen</w:t>
      </w:r>
      <w:r>
        <w:rPr>
          <w:spacing w:val="-7"/>
          <w:sz w:val="20"/>
        </w:rPr>
        <w:t xml:space="preserve"> </w:t>
      </w:r>
      <w:r>
        <w:rPr>
          <w:sz w:val="20"/>
        </w:rPr>
        <w:t>und</w:t>
      </w:r>
      <w:r>
        <w:rPr>
          <w:spacing w:val="-7"/>
          <w:sz w:val="20"/>
        </w:rPr>
        <w:t xml:space="preserve"> </w:t>
      </w:r>
      <w:r>
        <w:rPr>
          <w:sz w:val="20"/>
        </w:rPr>
        <w:t>Anweisungen</w:t>
      </w:r>
      <w:r>
        <w:rPr>
          <w:spacing w:val="-7"/>
          <w:sz w:val="20"/>
        </w:rPr>
        <w:t xml:space="preserve"> </w:t>
      </w:r>
      <w:r>
        <w:rPr>
          <w:sz w:val="20"/>
        </w:rPr>
        <w:t>oder</w:t>
      </w:r>
      <w:r>
        <w:rPr>
          <w:spacing w:val="-7"/>
          <w:sz w:val="20"/>
        </w:rPr>
        <w:t xml:space="preserve"> </w:t>
      </w:r>
      <w:r>
        <w:rPr>
          <w:sz w:val="20"/>
        </w:rPr>
        <w:t>Präferenzen</w:t>
      </w:r>
      <w:r>
        <w:rPr>
          <w:spacing w:val="-6"/>
          <w:sz w:val="20"/>
        </w:rPr>
        <w:t xml:space="preserve"> </w:t>
      </w:r>
      <w:r>
        <w:rPr>
          <w:sz w:val="20"/>
        </w:rPr>
        <w:t>in Bezug</w:t>
      </w:r>
      <w:r>
        <w:rPr>
          <w:spacing w:val="-6"/>
          <w:sz w:val="20"/>
        </w:rPr>
        <w:t xml:space="preserve"> </w:t>
      </w:r>
      <w:r>
        <w:rPr>
          <w:sz w:val="20"/>
        </w:rPr>
        <w:t>auf den Zuteilungsprozess, der vom Emittenten/ Anbieter, anderen Mitgliedern des Konsorti- ums</w:t>
      </w:r>
      <w:r>
        <w:rPr>
          <w:spacing w:val="-1"/>
          <w:sz w:val="20"/>
        </w:rPr>
        <w:t xml:space="preserve"> </w:t>
      </w:r>
      <w:r>
        <w:rPr>
          <w:sz w:val="20"/>
        </w:rPr>
        <w:t>oder von</w:t>
      </w:r>
      <w:r>
        <w:rPr>
          <w:spacing w:val="-1"/>
          <w:sz w:val="20"/>
        </w:rPr>
        <w:t xml:space="preserve"> </w:t>
      </w:r>
      <w:r>
        <w:rPr>
          <w:sz w:val="20"/>
        </w:rPr>
        <w:t>der</w:t>
      </w:r>
      <w:r>
        <w:rPr>
          <w:spacing w:val="-1"/>
          <w:sz w:val="20"/>
        </w:rPr>
        <w:t xml:space="preserve"> </w:t>
      </w:r>
      <w:r>
        <w:rPr>
          <w:sz w:val="20"/>
        </w:rPr>
        <w:t>Bank</w:t>
      </w:r>
      <w:r>
        <w:rPr>
          <w:spacing w:val="-1"/>
          <w:sz w:val="20"/>
        </w:rPr>
        <w:t xml:space="preserve"> </w:t>
      </w:r>
      <w:r>
        <w:rPr>
          <w:sz w:val="20"/>
        </w:rPr>
        <w:t>selbst</w:t>
      </w:r>
      <w:r>
        <w:rPr>
          <w:spacing w:val="-2"/>
          <w:sz w:val="20"/>
        </w:rPr>
        <w:t xml:space="preserve"> </w:t>
      </w:r>
      <w:r>
        <w:rPr>
          <w:sz w:val="20"/>
        </w:rPr>
        <w:t>bereitgestellt</w:t>
      </w:r>
      <w:r>
        <w:rPr>
          <w:spacing w:val="-2"/>
          <w:sz w:val="20"/>
        </w:rPr>
        <w:t xml:space="preserve"> </w:t>
      </w:r>
      <w:r>
        <w:rPr>
          <w:sz w:val="20"/>
        </w:rPr>
        <w:t>wurde, vermerken,</w:t>
      </w:r>
      <w:r>
        <w:rPr>
          <w:spacing w:val="-2"/>
          <w:sz w:val="20"/>
        </w:rPr>
        <w:t xml:space="preserve"> </w:t>
      </w:r>
      <w:r>
        <w:rPr>
          <w:sz w:val="20"/>
        </w:rPr>
        <w:t>auch im</w:t>
      </w:r>
      <w:r>
        <w:rPr>
          <w:spacing w:val="-2"/>
          <w:sz w:val="20"/>
        </w:rPr>
        <w:t xml:space="preserve"> </w:t>
      </w:r>
      <w:r>
        <w:rPr>
          <w:sz w:val="20"/>
        </w:rPr>
        <w:t>Hinblick auf Feed- back- und Zuteilungsanfragen von Investoren.</w:t>
      </w:r>
    </w:p>
    <w:p w14:paraId="7505BC96" w14:textId="77777777" w:rsidR="00E02435" w:rsidRDefault="00384525">
      <w:pPr>
        <w:pStyle w:val="ListParagraph"/>
        <w:numPr>
          <w:ilvl w:val="2"/>
          <w:numId w:val="2"/>
        </w:numPr>
        <w:tabs>
          <w:tab w:val="left" w:pos="1388"/>
          <w:tab w:val="left" w:pos="1390"/>
        </w:tabs>
        <w:spacing w:line="276" w:lineRule="auto"/>
        <w:ind w:right="714"/>
        <w:rPr>
          <w:sz w:val="20"/>
        </w:rPr>
      </w:pPr>
      <w:r>
        <w:rPr>
          <w:sz w:val="20"/>
        </w:rPr>
        <w:t xml:space="preserve">Nach Abschluss des Bookbuilding-Prozesses unterbreitet die Bank dem Emittenten/ An- bieter eine Zuteilungsempfehlung (einschließlich Informationen zu den abgegebenen An- geboten, den Investoren, die diese Angebote abgegeben haben, und den Gründen für die Empfehlungen). Die abschließenden Zuteilungen werden durch den Emittenten/ Anbieter </w:t>
      </w:r>
      <w:r>
        <w:rPr>
          <w:spacing w:val="-2"/>
          <w:sz w:val="20"/>
        </w:rPr>
        <w:t>bestätigt.</w:t>
      </w:r>
    </w:p>
    <w:p w14:paraId="7820CDA9" w14:textId="77777777" w:rsidR="00E02435" w:rsidRDefault="00384525">
      <w:pPr>
        <w:pStyle w:val="ListParagraph"/>
        <w:numPr>
          <w:ilvl w:val="2"/>
          <w:numId w:val="2"/>
        </w:numPr>
        <w:tabs>
          <w:tab w:val="left" w:pos="1388"/>
          <w:tab w:val="left" w:pos="1390"/>
        </w:tabs>
        <w:spacing w:line="276" w:lineRule="auto"/>
        <w:ind w:right="712"/>
        <w:rPr>
          <w:sz w:val="20"/>
        </w:rPr>
      </w:pPr>
      <w:r>
        <w:rPr>
          <w:sz w:val="20"/>
        </w:rPr>
        <w:t>Handeln</w:t>
      </w:r>
      <w:r>
        <w:rPr>
          <w:spacing w:val="-4"/>
          <w:sz w:val="20"/>
        </w:rPr>
        <w:t xml:space="preserve"> </w:t>
      </w:r>
      <w:r>
        <w:rPr>
          <w:sz w:val="20"/>
        </w:rPr>
        <w:t>mehrere</w:t>
      </w:r>
      <w:r>
        <w:rPr>
          <w:spacing w:val="-3"/>
          <w:sz w:val="20"/>
        </w:rPr>
        <w:t xml:space="preserve"> </w:t>
      </w:r>
      <w:r>
        <w:rPr>
          <w:sz w:val="20"/>
        </w:rPr>
        <w:t>„Bookrunner“</w:t>
      </w:r>
      <w:r>
        <w:rPr>
          <w:spacing w:val="-4"/>
          <w:sz w:val="20"/>
        </w:rPr>
        <w:t xml:space="preserve"> </w:t>
      </w:r>
      <w:r>
        <w:rPr>
          <w:sz w:val="20"/>
        </w:rPr>
        <w:t>für</w:t>
      </w:r>
      <w:r>
        <w:rPr>
          <w:spacing w:val="-4"/>
          <w:sz w:val="20"/>
        </w:rPr>
        <w:t xml:space="preserve"> </w:t>
      </w:r>
      <w:r>
        <w:rPr>
          <w:sz w:val="20"/>
        </w:rPr>
        <w:t>einen</w:t>
      </w:r>
      <w:r>
        <w:rPr>
          <w:spacing w:val="-5"/>
          <w:sz w:val="20"/>
        </w:rPr>
        <w:t xml:space="preserve"> </w:t>
      </w:r>
      <w:r>
        <w:rPr>
          <w:sz w:val="20"/>
        </w:rPr>
        <w:t>Emittenten/</w:t>
      </w:r>
      <w:r>
        <w:rPr>
          <w:spacing w:val="-3"/>
          <w:sz w:val="20"/>
        </w:rPr>
        <w:t xml:space="preserve"> </w:t>
      </w:r>
      <w:r>
        <w:rPr>
          <w:sz w:val="20"/>
        </w:rPr>
        <w:t>Anbieter,</w:t>
      </w:r>
      <w:r>
        <w:rPr>
          <w:spacing w:val="-4"/>
          <w:sz w:val="20"/>
        </w:rPr>
        <w:t xml:space="preserve"> </w:t>
      </w:r>
      <w:r>
        <w:rPr>
          <w:sz w:val="20"/>
        </w:rPr>
        <w:t>ist</w:t>
      </w:r>
      <w:r>
        <w:rPr>
          <w:spacing w:val="-4"/>
          <w:sz w:val="20"/>
        </w:rPr>
        <w:t xml:space="preserve"> </w:t>
      </w:r>
      <w:r>
        <w:rPr>
          <w:sz w:val="20"/>
        </w:rPr>
        <w:t>die</w:t>
      </w:r>
      <w:r>
        <w:rPr>
          <w:spacing w:val="-5"/>
          <w:sz w:val="20"/>
        </w:rPr>
        <w:t xml:space="preserve"> </w:t>
      </w:r>
      <w:r>
        <w:rPr>
          <w:sz w:val="20"/>
        </w:rPr>
        <w:t>Bank</w:t>
      </w:r>
      <w:r>
        <w:rPr>
          <w:spacing w:val="-3"/>
          <w:sz w:val="20"/>
        </w:rPr>
        <w:t xml:space="preserve"> </w:t>
      </w:r>
      <w:r>
        <w:rPr>
          <w:sz w:val="20"/>
        </w:rPr>
        <w:t>diesen</w:t>
      </w:r>
      <w:r>
        <w:rPr>
          <w:spacing w:val="-5"/>
          <w:sz w:val="20"/>
        </w:rPr>
        <w:t xml:space="preserve"> </w:t>
      </w:r>
      <w:r>
        <w:rPr>
          <w:sz w:val="20"/>
        </w:rPr>
        <w:t xml:space="preserve">gegen- über nur dann in Bezug auf die Preisbildung und Zuteilung verpflichtet, wenn die Bank für die Preisbildung und Zuteilung des Angebots zuständig ist (allein oder gemeinsam mit an- </w:t>
      </w:r>
      <w:r>
        <w:rPr>
          <w:spacing w:val="-2"/>
          <w:sz w:val="20"/>
        </w:rPr>
        <w:t>deren).</w:t>
      </w:r>
    </w:p>
    <w:p w14:paraId="1D7EC050" w14:textId="77777777" w:rsidR="00E02435" w:rsidRDefault="00384525">
      <w:pPr>
        <w:pStyle w:val="ListParagraph"/>
        <w:numPr>
          <w:ilvl w:val="2"/>
          <w:numId w:val="2"/>
        </w:numPr>
        <w:tabs>
          <w:tab w:val="left" w:pos="1388"/>
          <w:tab w:val="left" w:pos="1390"/>
        </w:tabs>
        <w:spacing w:line="276" w:lineRule="auto"/>
        <w:ind w:right="712"/>
        <w:rPr>
          <w:sz w:val="20"/>
        </w:rPr>
      </w:pPr>
      <w:r>
        <w:rPr>
          <w:sz w:val="20"/>
        </w:rPr>
        <w:t>Wenn es mit den Zuteilungszielen des Emittenten/ Anbieters vereinbar ist, kann die Bank Wertpapiere</w:t>
      </w:r>
      <w:r>
        <w:rPr>
          <w:spacing w:val="-12"/>
          <w:sz w:val="20"/>
        </w:rPr>
        <w:t xml:space="preserve"> </w:t>
      </w:r>
      <w:r>
        <w:rPr>
          <w:sz w:val="20"/>
        </w:rPr>
        <w:t>institutionellen</w:t>
      </w:r>
      <w:r>
        <w:rPr>
          <w:spacing w:val="-11"/>
          <w:sz w:val="20"/>
        </w:rPr>
        <w:t xml:space="preserve"> </w:t>
      </w:r>
      <w:r>
        <w:rPr>
          <w:sz w:val="20"/>
        </w:rPr>
        <w:t>Konten</w:t>
      </w:r>
      <w:r>
        <w:rPr>
          <w:spacing w:val="-12"/>
          <w:sz w:val="20"/>
        </w:rPr>
        <w:t xml:space="preserve"> </w:t>
      </w:r>
      <w:r>
        <w:rPr>
          <w:sz w:val="20"/>
        </w:rPr>
        <w:t>und</w:t>
      </w:r>
      <w:r>
        <w:rPr>
          <w:spacing w:val="-11"/>
          <w:sz w:val="20"/>
        </w:rPr>
        <w:t xml:space="preserve"> </w:t>
      </w:r>
      <w:r>
        <w:rPr>
          <w:sz w:val="20"/>
        </w:rPr>
        <w:t>anderen</w:t>
      </w:r>
      <w:r>
        <w:rPr>
          <w:spacing w:val="-12"/>
          <w:sz w:val="20"/>
        </w:rPr>
        <w:t xml:space="preserve"> </w:t>
      </w:r>
      <w:r>
        <w:rPr>
          <w:sz w:val="20"/>
        </w:rPr>
        <w:t>Investoren,</w:t>
      </w:r>
      <w:r>
        <w:rPr>
          <w:spacing w:val="-12"/>
          <w:sz w:val="20"/>
        </w:rPr>
        <w:t xml:space="preserve"> </w:t>
      </w:r>
      <w:r>
        <w:rPr>
          <w:sz w:val="20"/>
        </w:rPr>
        <w:t>die</w:t>
      </w:r>
      <w:r>
        <w:rPr>
          <w:spacing w:val="-11"/>
          <w:sz w:val="20"/>
        </w:rPr>
        <w:t xml:space="preserve"> </w:t>
      </w:r>
      <w:r>
        <w:rPr>
          <w:sz w:val="20"/>
        </w:rPr>
        <w:t>Kunden</w:t>
      </w:r>
      <w:r>
        <w:rPr>
          <w:spacing w:val="-11"/>
          <w:sz w:val="20"/>
        </w:rPr>
        <w:t xml:space="preserve"> </w:t>
      </w:r>
      <w:r>
        <w:rPr>
          <w:sz w:val="20"/>
        </w:rPr>
        <w:t>der</w:t>
      </w:r>
      <w:r>
        <w:rPr>
          <w:spacing w:val="-11"/>
          <w:sz w:val="20"/>
        </w:rPr>
        <w:t xml:space="preserve"> </w:t>
      </w:r>
      <w:r>
        <w:rPr>
          <w:sz w:val="20"/>
        </w:rPr>
        <w:t>Bank</w:t>
      </w:r>
      <w:r>
        <w:rPr>
          <w:spacing w:val="-10"/>
          <w:sz w:val="20"/>
        </w:rPr>
        <w:t xml:space="preserve"> </w:t>
      </w:r>
      <w:r>
        <w:rPr>
          <w:sz w:val="20"/>
        </w:rPr>
        <w:t>sind</w:t>
      </w:r>
      <w:r>
        <w:rPr>
          <w:spacing w:val="-10"/>
          <w:sz w:val="20"/>
        </w:rPr>
        <w:t xml:space="preserve"> </w:t>
      </w:r>
      <w:r>
        <w:rPr>
          <w:sz w:val="20"/>
        </w:rPr>
        <w:t>und von denen die Bank möglicherweise Provisionen und andere Einnahmen erhält, den Han- dels-</w:t>
      </w:r>
      <w:r>
        <w:rPr>
          <w:spacing w:val="-6"/>
          <w:sz w:val="20"/>
        </w:rPr>
        <w:t xml:space="preserve"> </w:t>
      </w:r>
      <w:r>
        <w:rPr>
          <w:sz w:val="20"/>
        </w:rPr>
        <w:t>und</w:t>
      </w:r>
      <w:r>
        <w:rPr>
          <w:spacing w:val="-7"/>
          <w:sz w:val="20"/>
        </w:rPr>
        <w:t xml:space="preserve"> </w:t>
      </w:r>
      <w:r>
        <w:rPr>
          <w:sz w:val="20"/>
        </w:rPr>
        <w:t>Eigenhandelskonten</w:t>
      </w:r>
      <w:r>
        <w:rPr>
          <w:spacing w:val="-5"/>
          <w:sz w:val="20"/>
        </w:rPr>
        <w:t xml:space="preserve"> </w:t>
      </w:r>
      <w:r>
        <w:rPr>
          <w:sz w:val="20"/>
        </w:rPr>
        <w:t>der</w:t>
      </w:r>
      <w:r>
        <w:rPr>
          <w:spacing w:val="-7"/>
          <w:sz w:val="20"/>
        </w:rPr>
        <w:t xml:space="preserve"> </w:t>
      </w:r>
      <w:r>
        <w:rPr>
          <w:sz w:val="20"/>
        </w:rPr>
        <w:t>Bank</w:t>
      </w:r>
      <w:r>
        <w:rPr>
          <w:spacing w:val="-6"/>
          <w:sz w:val="20"/>
        </w:rPr>
        <w:t xml:space="preserve"> </w:t>
      </w:r>
      <w:r>
        <w:rPr>
          <w:sz w:val="20"/>
        </w:rPr>
        <w:t>sowie</w:t>
      </w:r>
      <w:r>
        <w:rPr>
          <w:spacing w:val="-7"/>
          <w:sz w:val="20"/>
        </w:rPr>
        <w:t xml:space="preserve"> </w:t>
      </w:r>
      <w:r>
        <w:rPr>
          <w:sz w:val="20"/>
        </w:rPr>
        <w:t>den</w:t>
      </w:r>
      <w:r>
        <w:rPr>
          <w:spacing w:val="-5"/>
          <w:sz w:val="20"/>
        </w:rPr>
        <w:t xml:space="preserve"> </w:t>
      </w:r>
      <w:r>
        <w:rPr>
          <w:sz w:val="20"/>
        </w:rPr>
        <w:t>mit</w:t>
      </w:r>
      <w:r>
        <w:rPr>
          <w:spacing w:val="-7"/>
          <w:sz w:val="20"/>
        </w:rPr>
        <w:t xml:space="preserve"> </w:t>
      </w:r>
      <w:r>
        <w:rPr>
          <w:sz w:val="20"/>
        </w:rPr>
        <w:t>der</w:t>
      </w:r>
      <w:r>
        <w:rPr>
          <w:spacing w:val="-7"/>
          <w:sz w:val="20"/>
        </w:rPr>
        <w:t xml:space="preserve"> </w:t>
      </w:r>
      <w:r>
        <w:rPr>
          <w:sz w:val="20"/>
        </w:rPr>
        <w:t>Bank</w:t>
      </w:r>
      <w:r>
        <w:rPr>
          <w:spacing w:val="-6"/>
          <w:sz w:val="20"/>
        </w:rPr>
        <w:t xml:space="preserve"> </w:t>
      </w:r>
      <w:r>
        <w:rPr>
          <w:sz w:val="20"/>
        </w:rPr>
        <w:t>verbundenen</w:t>
      </w:r>
      <w:r>
        <w:rPr>
          <w:spacing w:val="-7"/>
          <w:sz w:val="20"/>
        </w:rPr>
        <w:t xml:space="preserve"> </w:t>
      </w:r>
      <w:r>
        <w:rPr>
          <w:sz w:val="20"/>
        </w:rPr>
        <w:t>Vermögens- verwaltungsgesellschaften zuteilen. Solche Zuteilungen können zu einem potenziellen In- teressenkonflikt für die</w:t>
      </w:r>
      <w:r>
        <w:rPr>
          <w:spacing w:val="-1"/>
          <w:sz w:val="20"/>
        </w:rPr>
        <w:t xml:space="preserve"> </w:t>
      </w:r>
      <w:r>
        <w:rPr>
          <w:sz w:val="20"/>
        </w:rPr>
        <w:t>Bank führen, der in Einklang mit den</w:t>
      </w:r>
      <w:r>
        <w:rPr>
          <w:spacing w:val="-1"/>
          <w:sz w:val="20"/>
        </w:rPr>
        <w:t xml:space="preserve"> </w:t>
      </w:r>
      <w:r>
        <w:rPr>
          <w:sz w:val="20"/>
        </w:rPr>
        <w:t>geltenden Gesetzen</w:t>
      </w:r>
      <w:r>
        <w:rPr>
          <w:spacing w:val="-1"/>
          <w:sz w:val="20"/>
        </w:rPr>
        <w:t xml:space="preserve"> </w:t>
      </w:r>
      <w:r>
        <w:rPr>
          <w:sz w:val="20"/>
        </w:rPr>
        <w:t xml:space="preserve">und Vor- </w:t>
      </w:r>
      <w:r>
        <w:rPr>
          <w:sz w:val="20"/>
        </w:rPr>
        <w:lastRenderedPageBreak/>
        <w:t>schriften sowie den Richtlinien und Verfahren der Bank gehandhabt wird. Dementspre- chend dürfen Vertriebs oder sonstige Mitarbeiter außerhalb des Bookbuilding-Prozesses für die Transaktion mit Investoren weder spezifischen Zuteilungen für einzelne Investoren anfordern noch anderweitig versuchen, die Zuteilungsentscheidungen zu beeinflussen.</w:t>
      </w:r>
    </w:p>
    <w:p w14:paraId="18FCCB3A" w14:textId="6CA78C67" w:rsidR="00E02435" w:rsidRDefault="00830CAC">
      <w:pPr>
        <w:pStyle w:val="ListParagraph"/>
        <w:numPr>
          <w:ilvl w:val="2"/>
          <w:numId w:val="2"/>
        </w:numPr>
        <w:tabs>
          <w:tab w:val="left" w:pos="1388"/>
          <w:tab w:val="left" w:pos="1390"/>
        </w:tabs>
        <w:spacing w:line="276" w:lineRule="auto"/>
        <w:ind w:right="716"/>
        <w:rPr>
          <w:sz w:val="20"/>
        </w:rPr>
      </w:pPr>
      <w:r w:rsidRPr="00830CAC">
        <w:rPr>
          <w:sz w:val="20"/>
        </w:rPr>
        <w:t>Vorbehaltlich aller relevanten Vertraulichkeitspflichten wird die Bank den Markt so häufig wie erforderlich über das im Bookbuilding Prozess identifizierten Investoreninteresses informieren</w:t>
      </w:r>
    </w:p>
    <w:p w14:paraId="350D3E4C" w14:textId="77777777" w:rsidR="00E02435" w:rsidRDefault="00384525">
      <w:pPr>
        <w:pStyle w:val="Heading1"/>
        <w:numPr>
          <w:ilvl w:val="1"/>
          <w:numId w:val="2"/>
        </w:numPr>
        <w:tabs>
          <w:tab w:val="left" w:pos="1226"/>
        </w:tabs>
        <w:spacing w:before="239"/>
      </w:pPr>
      <w:r>
        <w:rPr>
          <w:color w:val="0017A8"/>
        </w:rPr>
        <w:t>Sonstige</w:t>
      </w:r>
      <w:r>
        <w:rPr>
          <w:color w:val="0017A8"/>
          <w:spacing w:val="-4"/>
        </w:rPr>
        <w:t xml:space="preserve"> </w:t>
      </w:r>
      <w:r>
        <w:rPr>
          <w:color w:val="0017A8"/>
        </w:rPr>
        <w:t>Faktoren</w:t>
      </w:r>
      <w:r>
        <w:rPr>
          <w:color w:val="0017A8"/>
          <w:spacing w:val="-1"/>
        </w:rPr>
        <w:t xml:space="preserve"> </w:t>
      </w:r>
      <w:r>
        <w:rPr>
          <w:color w:val="0017A8"/>
        </w:rPr>
        <w:t>wie</w:t>
      </w:r>
      <w:r>
        <w:rPr>
          <w:color w:val="0017A8"/>
          <w:spacing w:val="-1"/>
        </w:rPr>
        <w:t xml:space="preserve"> </w:t>
      </w:r>
      <w:r>
        <w:rPr>
          <w:color w:val="0017A8"/>
        </w:rPr>
        <w:t>Preis</w:t>
      </w:r>
      <w:r>
        <w:rPr>
          <w:color w:val="0017A8"/>
          <w:spacing w:val="-2"/>
        </w:rPr>
        <w:t xml:space="preserve"> </w:t>
      </w:r>
      <w:r>
        <w:rPr>
          <w:color w:val="0017A8"/>
        </w:rPr>
        <w:t>und</w:t>
      </w:r>
      <w:r>
        <w:rPr>
          <w:color w:val="0017A8"/>
          <w:spacing w:val="-1"/>
        </w:rPr>
        <w:t xml:space="preserve"> </w:t>
      </w:r>
      <w:r>
        <w:rPr>
          <w:color w:val="0017A8"/>
        </w:rPr>
        <w:t>Zeitpunkt</w:t>
      </w:r>
      <w:r>
        <w:rPr>
          <w:color w:val="0017A8"/>
          <w:spacing w:val="-1"/>
        </w:rPr>
        <w:t xml:space="preserve"> </w:t>
      </w:r>
      <w:r>
        <w:rPr>
          <w:color w:val="0017A8"/>
        </w:rPr>
        <w:t>des</w:t>
      </w:r>
      <w:r>
        <w:rPr>
          <w:color w:val="0017A8"/>
          <w:spacing w:val="-1"/>
        </w:rPr>
        <w:t xml:space="preserve"> </w:t>
      </w:r>
      <w:r>
        <w:rPr>
          <w:color w:val="0017A8"/>
          <w:spacing w:val="-2"/>
        </w:rPr>
        <w:t>Angebotes</w:t>
      </w:r>
    </w:p>
    <w:p w14:paraId="581BB55C" w14:textId="5BF8549C" w:rsidR="00E02435" w:rsidRDefault="00384525">
      <w:pPr>
        <w:pStyle w:val="BodyText"/>
        <w:spacing w:before="135" w:line="276" w:lineRule="auto"/>
        <w:ind w:left="898" w:right="719"/>
        <w:jc w:val="both"/>
      </w:pPr>
      <w:r>
        <w:t xml:space="preserve">Bei der Festlegung des Angebotspreises berücksichtigt die Bank alle sachdienlichen Faktoren. Dazu kann zählen: bekannte Investorennachfrage, </w:t>
      </w:r>
      <w:r w:rsidR="0052262C">
        <w:t>Größe</w:t>
      </w:r>
      <w:r>
        <w:t xml:space="preserve"> der zu verkaufenden Beteiligung im Verhältnis zur Größe und Liquidität des Emittenten und dessen Wertpapieren, aktueller Preis, interne Betrachtungen des Zeitwert</w:t>
      </w:r>
      <w:r w:rsidR="003D0065">
        <w:t>e</w:t>
      </w:r>
      <w:r>
        <w:t>s und der Marktbedingungen, Preistrend, Volatilität und Preisbildung</w:t>
      </w:r>
      <w:r>
        <w:rPr>
          <w:spacing w:val="-5"/>
        </w:rPr>
        <w:t xml:space="preserve"> </w:t>
      </w:r>
      <w:r>
        <w:t>früherer</w:t>
      </w:r>
      <w:r>
        <w:rPr>
          <w:spacing w:val="-5"/>
        </w:rPr>
        <w:t xml:space="preserve"> </w:t>
      </w:r>
      <w:r>
        <w:t>oder</w:t>
      </w:r>
      <w:r>
        <w:rPr>
          <w:spacing w:val="-5"/>
        </w:rPr>
        <w:t xml:space="preserve"> </w:t>
      </w:r>
      <w:r>
        <w:t>vergleichbarer</w:t>
      </w:r>
      <w:r>
        <w:rPr>
          <w:spacing w:val="-5"/>
        </w:rPr>
        <w:t xml:space="preserve"> </w:t>
      </w:r>
      <w:r>
        <w:t>Angebote.</w:t>
      </w:r>
      <w:r>
        <w:rPr>
          <w:spacing w:val="-5"/>
        </w:rPr>
        <w:t xml:space="preserve"> </w:t>
      </w:r>
      <w:r>
        <w:t>Im</w:t>
      </w:r>
      <w:r>
        <w:rPr>
          <w:spacing w:val="-5"/>
        </w:rPr>
        <w:t xml:space="preserve"> </w:t>
      </w:r>
      <w:r>
        <w:t>Hinblick</w:t>
      </w:r>
      <w:r>
        <w:rPr>
          <w:spacing w:val="-4"/>
        </w:rPr>
        <w:t xml:space="preserve"> </w:t>
      </w:r>
      <w:r>
        <w:t>auf</w:t>
      </w:r>
      <w:r>
        <w:rPr>
          <w:spacing w:val="-5"/>
        </w:rPr>
        <w:t xml:space="preserve"> </w:t>
      </w:r>
      <w:r>
        <w:t>eine</w:t>
      </w:r>
      <w:r>
        <w:rPr>
          <w:spacing w:val="-6"/>
        </w:rPr>
        <w:t xml:space="preserve"> </w:t>
      </w:r>
      <w:r>
        <w:t>fundierte</w:t>
      </w:r>
      <w:r>
        <w:rPr>
          <w:spacing w:val="-6"/>
        </w:rPr>
        <w:t xml:space="preserve"> </w:t>
      </w:r>
      <w:r>
        <w:t>Preisbildung kann die Bank eine Marktsondierung mit Zustimmung des Emittenten/ Anbieters vorschlagen. Die Bank informiert den Emittenten/ Anbieter während des Angebotsprozesses soweit nötig über die Preisbildung.</w:t>
      </w:r>
    </w:p>
    <w:p w14:paraId="3A097CC3" w14:textId="77777777" w:rsidR="00E02435" w:rsidRDefault="00384525">
      <w:pPr>
        <w:pStyle w:val="BodyText"/>
        <w:spacing w:before="202" w:line="276" w:lineRule="auto"/>
        <w:ind w:left="898" w:right="714"/>
        <w:jc w:val="both"/>
      </w:pPr>
      <w:r>
        <w:t>Die Bank informiert ihre Emittenten Anbieter ferner über den besten Zeitpunkt für ein Angebot. Die Betrachtungen beruhen auf Faktoren wie Kundenanforderungen und Marktverhalten und berücksichtigen</w:t>
      </w:r>
      <w:r>
        <w:rPr>
          <w:spacing w:val="-2"/>
        </w:rPr>
        <w:t xml:space="preserve"> </w:t>
      </w:r>
      <w:r>
        <w:t>die aktuellen</w:t>
      </w:r>
      <w:r>
        <w:rPr>
          <w:spacing w:val="-2"/>
        </w:rPr>
        <w:t xml:space="preserve"> </w:t>
      </w:r>
      <w:r>
        <w:t>und</w:t>
      </w:r>
      <w:r>
        <w:rPr>
          <w:spacing w:val="-1"/>
        </w:rPr>
        <w:t xml:space="preserve"> </w:t>
      </w:r>
      <w:r>
        <w:t>erwarteten Marktbedingungen.</w:t>
      </w:r>
      <w:r>
        <w:rPr>
          <w:spacing w:val="-2"/>
        </w:rPr>
        <w:t xml:space="preserve"> </w:t>
      </w:r>
      <w:r>
        <w:t>Sollte im Zusammenhang mit der</w:t>
      </w:r>
      <w:r>
        <w:rPr>
          <w:spacing w:val="-8"/>
        </w:rPr>
        <w:t xml:space="preserve"> </w:t>
      </w:r>
      <w:r>
        <w:t>Transaktion</w:t>
      </w:r>
      <w:r>
        <w:rPr>
          <w:spacing w:val="-8"/>
        </w:rPr>
        <w:t xml:space="preserve"> </w:t>
      </w:r>
      <w:r>
        <w:t>eine</w:t>
      </w:r>
      <w:r>
        <w:rPr>
          <w:spacing w:val="-8"/>
        </w:rPr>
        <w:t xml:space="preserve"> </w:t>
      </w:r>
      <w:r>
        <w:t>Absicherung</w:t>
      </w:r>
      <w:r>
        <w:rPr>
          <w:spacing w:val="-8"/>
        </w:rPr>
        <w:t xml:space="preserve"> </w:t>
      </w:r>
      <w:r>
        <w:t>oder</w:t>
      </w:r>
      <w:r>
        <w:rPr>
          <w:spacing w:val="-8"/>
        </w:rPr>
        <w:t xml:space="preserve"> </w:t>
      </w:r>
      <w:r>
        <w:t>Stabilisierung</w:t>
      </w:r>
      <w:r>
        <w:rPr>
          <w:spacing w:val="-6"/>
        </w:rPr>
        <w:t xml:space="preserve"> </w:t>
      </w:r>
      <w:r>
        <w:t>erwartet</w:t>
      </w:r>
      <w:r>
        <w:rPr>
          <w:spacing w:val="-8"/>
        </w:rPr>
        <w:t xml:space="preserve"> </w:t>
      </w:r>
      <w:r>
        <w:t>werden,</w:t>
      </w:r>
      <w:r>
        <w:rPr>
          <w:spacing w:val="-8"/>
        </w:rPr>
        <w:t xml:space="preserve"> </w:t>
      </w:r>
      <w:r>
        <w:t>wird</w:t>
      </w:r>
      <w:r>
        <w:rPr>
          <w:spacing w:val="-2"/>
        </w:rPr>
        <w:t xml:space="preserve"> </w:t>
      </w:r>
      <w:r>
        <w:t>die</w:t>
      </w:r>
      <w:r>
        <w:rPr>
          <w:spacing w:val="-6"/>
        </w:rPr>
        <w:t xml:space="preserve"> </w:t>
      </w:r>
      <w:r>
        <w:t>Bank</w:t>
      </w:r>
      <w:r>
        <w:rPr>
          <w:spacing w:val="-7"/>
        </w:rPr>
        <w:t xml:space="preserve"> </w:t>
      </w:r>
      <w:r>
        <w:t>dies</w:t>
      </w:r>
      <w:r>
        <w:rPr>
          <w:spacing w:val="-7"/>
        </w:rPr>
        <w:t xml:space="preserve"> </w:t>
      </w:r>
      <w:r>
        <w:t>eben- falls dem Emittenten/ Anbieter erörtern.</w:t>
      </w:r>
    </w:p>
    <w:p w14:paraId="190425BA" w14:textId="77777777" w:rsidR="00E02435" w:rsidRDefault="00E02435">
      <w:pPr>
        <w:pStyle w:val="BodyText"/>
        <w:spacing w:before="103"/>
      </w:pPr>
    </w:p>
    <w:p w14:paraId="4F27FEBA" w14:textId="77777777" w:rsidR="00E02435" w:rsidRDefault="00384525">
      <w:pPr>
        <w:pStyle w:val="Heading1"/>
        <w:numPr>
          <w:ilvl w:val="0"/>
          <w:numId w:val="2"/>
        </w:numPr>
        <w:tabs>
          <w:tab w:val="left" w:pos="1226"/>
        </w:tabs>
      </w:pPr>
      <w:bookmarkStart w:id="8" w:name="_bookmark9"/>
      <w:bookmarkEnd w:id="8"/>
      <w:r>
        <w:rPr>
          <w:color w:val="0017A8"/>
          <w:spacing w:val="-2"/>
        </w:rPr>
        <w:t>Zuteilungsbeschränkungen</w:t>
      </w:r>
    </w:p>
    <w:p w14:paraId="4C63FB37" w14:textId="77777777" w:rsidR="00E02435" w:rsidRDefault="00384525">
      <w:pPr>
        <w:pStyle w:val="BodyText"/>
        <w:spacing w:before="256" w:line="249" w:lineRule="auto"/>
        <w:ind w:left="518"/>
      </w:pPr>
      <w:r>
        <w:t>Die</w:t>
      </w:r>
      <w:r>
        <w:rPr>
          <w:spacing w:val="-5"/>
        </w:rPr>
        <w:t xml:space="preserve"> </w:t>
      </w:r>
      <w:r>
        <w:t>Bank</w:t>
      </w:r>
      <w:r>
        <w:rPr>
          <w:spacing w:val="-4"/>
        </w:rPr>
        <w:t xml:space="preserve"> </w:t>
      </w:r>
      <w:r>
        <w:t>verbietet</w:t>
      </w:r>
      <w:r>
        <w:rPr>
          <w:spacing w:val="-5"/>
        </w:rPr>
        <w:t xml:space="preserve"> </w:t>
      </w:r>
      <w:r>
        <w:t>Vereinbarungen</w:t>
      </w:r>
      <w:r>
        <w:rPr>
          <w:spacing w:val="-3"/>
        </w:rPr>
        <w:t xml:space="preserve"> </w:t>
      </w:r>
      <w:r>
        <w:t>oder</w:t>
      </w:r>
      <w:r>
        <w:rPr>
          <w:spacing w:val="-5"/>
        </w:rPr>
        <w:t xml:space="preserve"> </w:t>
      </w:r>
      <w:r>
        <w:t>Quid-Pro-Quo-Arrangements</w:t>
      </w:r>
      <w:r>
        <w:rPr>
          <w:spacing w:val="-5"/>
        </w:rPr>
        <w:t xml:space="preserve"> </w:t>
      </w:r>
      <w:r>
        <w:t>aller</w:t>
      </w:r>
      <w:r>
        <w:rPr>
          <w:spacing w:val="-5"/>
        </w:rPr>
        <w:t xml:space="preserve"> </w:t>
      </w:r>
      <w:r>
        <w:t>Art</w:t>
      </w:r>
      <w:r>
        <w:rPr>
          <w:spacing w:val="-3"/>
        </w:rPr>
        <w:t xml:space="preserve"> </w:t>
      </w:r>
      <w:r>
        <w:t>mit</w:t>
      </w:r>
      <w:r>
        <w:rPr>
          <w:spacing w:val="-5"/>
        </w:rPr>
        <w:t xml:space="preserve"> </w:t>
      </w:r>
      <w:r>
        <w:t>Investoren</w:t>
      </w:r>
      <w:r>
        <w:rPr>
          <w:spacing w:val="-5"/>
        </w:rPr>
        <w:t xml:space="preserve"> </w:t>
      </w:r>
      <w:r>
        <w:t>als Gegenleistung für Zuteilungen. Zuteilungen erfolgen nicht auf Grundlage von:</w:t>
      </w:r>
    </w:p>
    <w:p w14:paraId="20D87171" w14:textId="77777777" w:rsidR="00E02435" w:rsidRDefault="00E02435">
      <w:pPr>
        <w:pStyle w:val="BodyText"/>
      </w:pPr>
    </w:p>
    <w:p w14:paraId="2A84B54C" w14:textId="77777777" w:rsidR="00E02435" w:rsidRDefault="00384525">
      <w:pPr>
        <w:pStyle w:val="ListParagraph"/>
        <w:numPr>
          <w:ilvl w:val="0"/>
          <w:numId w:val="1"/>
        </w:numPr>
        <w:tabs>
          <w:tab w:val="left" w:pos="1238"/>
        </w:tabs>
        <w:spacing w:line="276" w:lineRule="auto"/>
        <w:ind w:right="719"/>
        <w:jc w:val="left"/>
        <w:rPr>
          <w:sz w:val="20"/>
        </w:rPr>
      </w:pPr>
      <w:r>
        <w:rPr>
          <w:sz w:val="20"/>
        </w:rPr>
        <w:t>Gewinnbeteiligungsabreden mit dem Investor im Zusammenhang mit dem Handel neu aus- gegebener Wertpapiere,</w:t>
      </w:r>
    </w:p>
    <w:p w14:paraId="402BF5C2" w14:textId="77777777" w:rsidR="00E02435" w:rsidRDefault="00384525">
      <w:pPr>
        <w:pStyle w:val="ListParagraph"/>
        <w:numPr>
          <w:ilvl w:val="0"/>
          <w:numId w:val="1"/>
        </w:numPr>
        <w:tabs>
          <w:tab w:val="left" w:pos="1238"/>
        </w:tabs>
        <w:spacing w:before="1" w:line="276" w:lineRule="auto"/>
        <w:ind w:right="720"/>
        <w:jc w:val="left"/>
        <w:rPr>
          <w:sz w:val="20"/>
        </w:rPr>
      </w:pPr>
      <w:r>
        <w:rPr>
          <w:sz w:val="20"/>
        </w:rPr>
        <w:t>Vereinbarungen mit dem Investor im Hinblick auf direkte künftige Geschäfte mit der Bank oder deren Tochtergesellschaften,</w:t>
      </w:r>
    </w:p>
    <w:p w14:paraId="717FE273" w14:textId="77777777" w:rsidR="00E02435" w:rsidRDefault="00384525">
      <w:pPr>
        <w:pStyle w:val="ListParagraph"/>
        <w:numPr>
          <w:ilvl w:val="0"/>
          <w:numId w:val="1"/>
        </w:numPr>
        <w:tabs>
          <w:tab w:val="left" w:pos="1237"/>
        </w:tabs>
        <w:spacing w:line="256" w:lineRule="exact"/>
        <w:ind w:left="1237" w:hanging="359"/>
        <w:jc w:val="left"/>
        <w:rPr>
          <w:sz w:val="20"/>
        </w:rPr>
      </w:pPr>
      <w:r>
        <w:rPr>
          <w:sz w:val="20"/>
        </w:rPr>
        <w:t>Anreizen</w:t>
      </w:r>
      <w:r>
        <w:rPr>
          <w:spacing w:val="12"/>
          <w:sz w:val="20"/>
        </w:rPr>
        <w:t xml:space="preserve"> </w:t>
      </w:r>
      <w:r>
        <w:rPr>
          <w:sz w:val="20"/>
        </w:rPr>
        <w:t>durch</w:t>
      </w:r>
      <w:r>
        <w:rPr>
          <w:spacing w:val="13"/>
          <w:sz w:val="20"/>
        </w:rPr>
        <w:t xml:space="preserve"> </w:t>
      </w:r>
      <w:r>
        <w:rPr>
          <w:sz w:val="20"/>
        </w:rPr>
        <w:t>die</w:t>
      </w:r>
      <w:r>
        <w:rPr>
          <w:spacing w:val="14"/>
          <w:sz w:val="20"/>
        </w:rPr>
        <w:t xml:space="preserve"> </w:t>
      </w:r>
      <w:r>
        <w:rPr>
          <w:sz w:val="20"/>
        </w:rPr>
        <w:t>Zahlung</w:t>
      </w:r>
      <w:r>
        <w:rPr>
          <w:spacing w:val="13"/>
          <w:sz w:val="20"/>
        </w:rPr>
        <w:t xml:space="preserve"> </w:t>
      </w:r>
      <w:r>
        <w:rPr>
          <w:sz w:val="20"/>
        </w:rPr>
        <w:t>hoher</w:t>
      </w:r>
      <w:r>
        <w:rPr>
          <w:spacing w:val="14"/>
          <w:sz w:val="20"/>
        </w:rPr>
        <w:t xml:space="preserve"> </w:t>
      </w:r>
      <w:r>
        <w:rPr>
          <w:sz w:val="20"/>
        </w:rPr>
        <w:t>Gebühren</w:t>
      </w:r>
      <w:r>
        <w:rPr>
          <w:spacing w:val="13"/>
          <w:sz w:val="20"/>
        </w:rPr>
        <w:t xml:space="preserve"> </w:t>
      </w:r>
      <w:r>
        <w:rPr>
          <w:sz w:val="20"/>
        </w:rPr>
        <w:t>für</w:t>
      </w:r>
      <w:r>
        <w:rPr>
          <w:spacing w:val="15"/>
          <w:sz w:val="20"/>
        </w:rPr>
        <w:t xml:space="preserve"> </w:t>
      </w:r>
      <w:r>
        <w:rPr>
          <w:sz w:val="20"/>
        </w:rPr>
        <w:t>zusammenhanglose</w:t>
      </w:r>
      <w:r>
        <w:rPr>
          <w:spacing w:val="14"/>
          <w:sz w:val="20"/>
        </w:rPr>
        <w:t xml:space="preserve"> </w:t>
      </w:r>
      <w:r>
        <w:rPr>
          <w:sz w:val="20"/>
        </w:rPr>
        <w:t>Leistungen</w:t>
      </w:r>
      <w:r>
        <w:rPr>
          <w:spacing w:val="11"/>
          <w:sz w:val="20"/>
        </w:rPr>
        <w:t xml:space="preserve"> </w:t>
      </w:r>
      <w:r>
        <w:rPr>
          <w:sz w:val="20"/>
        </w:rPr>
        <w:t>der</w:t>
      </w:r>
      <w:r>
        <w:rPr>
          <w:spacing w:val="13"/>
          <w:sz w:val="20"/>
        </w:rPr>
        <w:t xml:space="preserve"> </w:t>
      </w:r>
      <w:r>
        <w:rPr>
          <w:spacing w:val="-4"/>
          <w:sz w:val="20"/>
        </w:rPr>
        <w:t>Bank</w:t>
      </w:r>
    </w:p>
    <w:p w14:paraId="521F40D9" w14:textId="77777777" w:rsidR="00E02435" w:rsidRDefault="00384525">
      <w:pPr>
        <w:pStyle w:val="BodyText"/>
        <w:spacing w:before="40"/>
        <w:ind w:left="1238"/>
      </w:pPr>
      <w:r>
        <w:rPr>
          <w:spacing w:val="-2"/>
        </w:rPr>
        <w:t>(„Laddering“),</w:t>
      </w:r>
    </w:p>
    <w:p w14:paraId="1407B467" w14:textId="77777777" w:rsidR="00E02435" w:rsidRDefault="00384525">
      <w:pPr>
        <w:pStyle w:val="ListParagraph"/>
        <w:numPr>
          <w:ilvl w:val="0"/>
          <w:numId w:val="1"/>
        </w:numPr>
        <w:tabs>
          <w:tab w:val="left" w:pos="1238"/>
        </w:tabs>
        <w:spacing w:before="38" w:line="276" w:lineRule="auto"/>
        <w:ind w:right="717"/>
        <w:rPr>
          <w:sz w:val="20"/>
        </w:rPr>
      </w:pPr>
      <w:r>
        <w:rPr>
          <w:sz w:val="20"/>
        </w:rPr>
        <w:t>„Spinning“</w:t>
      </w:r>
      <w:r>
        <w:rPr>
          <w:spacing w:val="-2"/>
          <w:sz w:val="20"/>
        </w:rPr>
        <w:t xml:space="preserve"> </w:t>
      </w:r>
      <w:r>
        <w:rPr>
          <w:sz w:val="20"/>
        </w:rPr>
        <w:t>– Zuwendungen</w:t>
      </w:r>
      <w:r>
        <w:rPr>
          <w:spacing w:val="-3"/>
          <w:sz w:val="20"/>
        </w:rPr>
        <w:t xml:space="preserve"> </w:t>
      </w:r>
      <w:r>
        <w:rPr>
          <w:sz w:val="20"/>
        </w:rPr>
        <w:t>an</w:t>
      </w:r>
      <w:r>
        <w:rPr>
          <w:spacing w:val="-3"/>
          <w:sz w:val="20"/>
        </w:rPr>
        <w:t xml:space="preserve"> </w:t>
      </w:r>
      <w:r>
        <w:rPr>
          <w:sz w:val="20"/>
        </w:rPr>
        <w:t>Führungskräfte oder leitende Mitarbeiter eines</w:t>
      </w:r>
      <w:r>
        <w:rPr>
          <w:spacing w:val="-2"/>
          <w:sz w:val="20"/>
        </w:rPr>
        <w:t xml:space="preserve"> </w:t>
      </w:r>
      <w:r>
        <w:rPr>
          <w:sz w:val="20"/>
        </w:rPr>
        <w:t>bestehenden oder potenziellen Emittenten-/Anbieter-Kunden als Gegenleistung für die Erteilung eines Corporate Finance-Auftrags in der Vergangenheit oder Zukunft,</w:t>
      </w:r>
    </w:p>
    <w:p w14:paraId="06A098A8" w14:textId="77777777" w:rsidR="00E02435" w:rsidRDefault="00384525">
      <w:pPr>
        <w:pStyle w:val="ListParagraph"/>
        <w:numPr>
          <w:ilvl w:val="0"/>
          <w:numId w:val="1"/>
        </w:numPr>
        <w:tabs>
          <w:tab w:val="left" w:pos="1238"/>
        </w:tabs>
        <w:spacing w:before="2" w:line="276" w:lineRule="auto"/>
        <w:ind w:right="726"/>
        <w:rPr>
          <w:sz w:val="20"/>
        </w:rPr>
      </w:pPr>
      <w:r>
        <w:rPr>
          <w:sz w:val="20"/>
        </w:rPr>
        <w:t>Abreden darüber, dass die Zuteilung als Entschädigung für Kundenbeschwerden und/oder erlittene Verluste des Investors erfolgt,</w:t>
      </w:r>
    </w:p>
    <w:p w14:paraId="5A0D1236" w14:textId="77777777" w:rsidR="00E02435" w:rsidRDefault="00384525">
      <w:pPr>
        <w:pStyle w:val="ListParagraph"/>
        <w:numPr>
          <w:ilvl w:val="0"/>
          <w:numId w:val="1"/>
        </w:numPr>
        <w:tabs>
          <w:tab w:val="left" w:pos="1238"/>
        </w:tabs>
        <w:spacing w:line="278" w:lineRule="auto"/>
        <w:ind w:right="726"/>
        <w:rPr>
          <w:sz w:val="20"/>
        </w:rPr>
      </w:pPr>
      <w:r>
        <w:rPr>
          <w:sz w:val="20"/>
        </w:rPr>
        <w:t>Bemühungen um oder Annahme von Sekundärmarktaufträge(n) von Investoren vor Ab- schluss der Angebotszuteilung (d. h. Auflösung des Konsortiums),</w:t>
      </w:r>
    </w:p>
    <w:p w14:paraId="42808FC3" w14:textId="77777777" w:rsidR="00E02435" w:rsidRDefault="00384525">
      <w:pPr>
        <w:pStyle w:val="ListParagraph"/>
        <w:numPr>
          <w:ilvl w:val="0"/>
          <w:numId w:val="1"/>
        </w:numPr>
        <w:tabs>
          <w:tab w:val="left" w:pos="1238"/>
        </w:tabs>
        <w:spacing w:line="278" w:lineRule="auto"/>
        <w:ind w:right="723"/>
        <w:rPr>
          <w:sz w:val="20"/>
        </w:rPr>
      </w:pPr>
      <w:r>
        <w:rPr>
          <w:sz w:val="20"/>
        </w:rPr>
        <w:t>Vereinbarungen dahingehend, den Investor im Gegenzug zur Beteiligung an einem laufen- den Angebot bei künftigen Zuteilungen zu berücksichtigen,</w:t>
      </w:r>
    </w:p>
    <w:p w14:paraId="59180621" w14:textId="77777777" w:rsidR="00E02435" w:rsidRDefault="00384525">
      <w:pPr>
        <w:pStyle w:val="ListParagraph"/>
        <w:numPr>
          <w:ilvl w:val="0"/>
          <w:numId w:val="1"/>
        </w:numPr>
        <w:tabs>
          <w:tab w:val="left" w:pos="1238"/>
        </w:tabs>
        <w:spacing w:line="278" w:lineRule="auto"/>
        <w:ind w:right="723"/>
        <w:rPr>
          <w:sz w:val="20"/>
        </w:rPr>
      </w:pPr>
      <w:r>
        <w:rPr>
          <w:sz w:val="20"/>
        </w:rPr>
        <w:t>Auskünften</w:t>
      </w:r>
      <w:r>
        <w:rPr>
          <w:spacing w:val="-12"/>
          <w:sz w:val="20"/>
        </w:rPr>
        <w:t xml:space="preserve"> </w:t>
      </w:r>
      <w:r>
        <w:rPr>
          <w:sz w:val="20"/>
        </w:rPr>
        <w:t>darüber,</w:t>
      </w:r>
      <w:r>
        <w:rPr>
          <w:spacing w:val="-12"/>
          <w:sz w:val="20"/>
        </w:rPr>
        <w:t xml:space="preserve"> </w:t>
      </w:r>
      <w:r>
        <w:rPr>
          <w:sz w:val="20"/>
        </w:rPr>
        <w:t>zu</w:t>
      </w:r>
      <w:r>
        <w:rPr>
          <w:spacing w:val="-8"/>
          <w:sz w:val="20"/>
        </w:rPr>
        <w:t xml:space="preserve"> </w:t>
      </w:r>
      <w:r>
        <w:rPr>
          <w:sz w:val="20"/>
        </w:rPr>
        <w:t>welchen</w:t>
      </w:r>
      <w:r>
        <w:rPr>
          <w:spacing w:val="-12"/>
          <w:sz w:val="20"/>
        </w:rPr>
        <w:t xml:space="preserve"> </w:t>
      </w:r>
      <w:r>
        <w:rPr>
          <w:sz w:val="20"/>
        </w:rPr>
        <w:t>Preisen</w:t>
      </w:r>
      <w:r>
        <w:rPr>
          <w:spacing w:val="-11"/>
          <w:sz w:val="20"/>
        </w:rPr>
        <w:t xml:space="preserve"> </w:t>
      </w:r>
      <w:r>
        <w:rPr>
          <w:sz w:val="20"/>
        </w:rPr>
        <w:t>und</w:t>
      </w:r>
      <w:r>
        <w:rPr>
          <w:spacing w:val="-11"/>
          <w:sz w:val="20"/>
        </w:rPr>
        <w:t xml:space="preserve"> </w:t>
      </w:r>
      <w:r>
        <w:rPr>
          <w:sz w:val="20"/>
        </w:rPr>
        <w:t>in</w:t>
      </w:r>
      <w:r>
        <w:rPr>
          <w:spacing w:val="-11"/>
          <w:sz w:val="20"/>
        </w:rPr>
        <w:t xml:space="preserve"> </w:t>
      </w:r>
      <w:r>
        <w:rPr>
          <w:sz w:val="20"/>
        </w:rPr>
        <w:t>welchen</w:t>
      </w:r>
      <w:r>
        <w:rPr>
          <w:spacing w:val="-12"/>
          <w:sz w:val="20"/>
        </w:rPr>
        <w:t xml:space="preserve"> </w:t>
      </w:r>
      <w:r>
        <w:rPr>
          <w:sz w:val="20"/>
        </w:rPr>
        <w:t>Mengen</w:t>
      </w:r>
      <w:r>
        <w:rPr>
          <w:spacing w:val="-11"/>
          <w:sz w:val="20"/>
        </w:rPr>
        <w:t xml:space="preserve"> </w:t>
      </w:r>
      <w:r>
        <w:rPr>
          <w:sz w:val="20"/>
        </w:rPr>
        <w:t>Investoren</w:t>
      </w:r>
      <w:r>
        <w:rPr>
          <w:spacing w:val="-12"/>
          <w:sz w:val="20"/>
        </w:rPr>
        <w:t xml:space="preserve"> </w:t>
      </w:r>
      <w:r>
        <w:rPr>
          <w:sz w:val="20"/>
        </w:rPr>
        <w:t>Wertpapiere</w:t>
      </w:r>
      <w:r>
        <w:rPr>
          <w:spacing w:val="-11"/>
          <w:sz w:val="20"/>
        </w:rPr>
        <w:t xml:space="preserve"> </w:t>
      </w:r>
      <w:r>
        <w:rPr>
          <w:sz w:val="20"/>
        </w:rPr>
        <w:t>am unmittelbaren „Aftermarket“ kaufen werden,</w:t>
      </w:r>
    </w:p>
    <w:p w14:paraId="09AFF51C" w14:textId="77777777" w:rsidR="00E02435" w:rsidRDefault="00384525">
      <w:pPr>
        <w:pStyle w:val="ListParagraph"/>
        <w:numPr>
          <w:ilvl w:val="0"/>
          <w:numId w:val="1"/>
        </w:numPr>
        <w:tabs>
          <w:tab w:val="left" w:pos="1237"/>
        </w:tabs>
        <w:spacing w:line="253" w:lineRule="exact"/>
        <w:ind w:left="1237" w:hanging="359"/>
        <w:rPr>
          <w:sz w:val="20"/>
        </w:rPr>
      </w:pPr>
      <w:r>
        <w:rPr>
          <w:sz w:val="20"/>
        </w:rPr>
        <w:t>Vereinbarungen</w:t>
      </w:r>
      <w:r>
        <w:rPr>
          <w:spacing w:val="6"/>
          <w:sz w:val="20"/>
        </w:rPr>
        <w:t xml:space="preserve"> </w:t>
      </w:r>
      <w:r>
        <w:rPr>
          <w:sz w:val="20"/>
        </w:rPr>
        <w:t>über</w:t>
      </w:r>
      <w:r>
        <w:rPr>
          <w:spacing w:val="7"/>
          <w:sz w:val="20"/>
        </w:rPr>
        <w:t xml:space="preserve"> </w:t>
      </w:r>
      <w:r>
        <w:rPr>
          <w:sz w:val="20"/>
        </w:rPr>
        <w:t>den</w:t>
      </w:r>
      <w:r>
        <w:rPr>
          <w:spacing w:val="10"/>
          <w:sz w:val="20"/>
        </w:rPr>
        <w:t xml:space="preserve"> </w:t>
      </w:r>
      <w:r>
        <w:rPr>
          <w:sz w:val="20"/>
        </w:rPr>
        <w:t>Kauf</w:t>
      </w:r>
      <w:r>
        <w:rPr>
          <w:spacing w:val="8"/>
          <w:sz w:val="20"/>
        </w:rPr>
        <w:t xml:space="preserve"> </w:t>
      </w:r>
      <w:r>
        <w:rPr>
          <w:sz w:val="20"/>
        </w:rPr>
        <w:t>von</w:t>
      </w:r>
      <w:r>
        <w:rPr>
          <w:spacing w:val="10"/>
          <w:sz w:val="20"/>
        </w:rPr>
        <w:t xml:space="preserve"> </w:t>
      </w:r>
      <w:r>
        <w:rPr>
          <w:sz w:val="20"/>
        </w:rPr>
        <w:t>Wertpapieren</w:t>
      </w:r>
      <w:r>
        <w:rPr>
          <w:spacing w:val="7"/>
          <w:sz w:val="20"/>
        </w:rPr>
        <w:t xml:space="preserve"> </w:t>
      </w:r>
      <w:r>
        <w:rPr>
          <w:sz w:val="20"/>
        </w:rPr>
        <w:t>am</w:t>
      </w:r>
      <w:r>
        <w:rPr>
          <w:spacing w:val="12"/>
          <w:sz w:val="20"/>
        </w:rPr>
        <w:t xml:space="preserve"> </w:t>
      </w:r>
      <w:r>
        <w:rPr>
          <w:sz w:val="20"/>
        </w:rPr>
        <w:t>„Aftermarket“</w:t>
      </w:r>
      <w:r>
        <w:rPr>
          <w:spacing w:val="9"/>
          <w:sz w:val="20"/>
        </w:rPr>
        <w:t xml:space="preserve"> </w:t>
      </w:r>
      <w:r>
        <w:rPr>
          <w:sz w:val="20"/>
        </w:rPr>
        <w:t>zu</w:t>
      </w:r>
      <w:r>
        <w:rPr>
          <w:spacing w:val="8"/>
          <w:sz w:val="20"/>
        </w:rPr>
        <w:t xml:space="preserve"> </w:t>
      </w:r>
      <w:r>
        <w:rPr>
          <w:sz w:val="20"/>
        </w:rPr>
        <w:t>steigenden</w:t>
      </w:r>
      <w:r>
        <w:rPr>
          <w:spacing w:val="9"/>
          <w:sz w:val="20"/>
        </w:rPr>
        <w:t xml:space="preserve"> </w:t>
      </w:r>
      <w:r>
        <w:rPr>
          <w:spacing w:val="-2"/>
          <w:sz w:val="20"/>
        </w:rPr>
        <w:t>Preisen</w:t>
      </w:r>
    </w:p>
    <w:p w14:paraId="3E5AF3D6" w14:textId="77777777" w:rsidR="00E02435" w:rsidRDefault="00384525">
      <w:pPr>
        <w:pStyle w:val="BodyText"/>
        <w:spacing w:before="25"/>
        <w:ind w:left="1238"/>
      </w:pPr>
      <w:r>
        <w:t>oder</w:t>
      </w:r>
      <w:r>
        <w:rPr>
          <w:spacing w:val="-7"/>
        </w:rPr>
        <w:t xml:space="preserve"> </w:t>
      </w:r>
      <w:r>
        <w:t>als</w:t>
      </w:r>
      <w:r>
        <w:rPr>
          <w:spacing w:val="-4"/>
        </w:rPr>
        <w:t xml:space="preserve"> </w:t>
      </w:r>
      <w:r>
        <w:t>Gegenleistung</w:t>
      </w:r>
      <w:r>
        <w:rPr>
          <w:spacing w:val="-6"/>
        </w:rPr>
        <w:t xml:space="preserve"> </w:t>
      </w:r>
      <w:r>
        <w:t>für</w:t>
      </w:r>
      <w:r>
        <w:rPr>
          <w:spacing w:val="-4"/>
        </w:rPr>
        <w:t xml:space="preserve"> </w:t>
      </w:r>
      <w:r>
        <w:t>eine</w:t>
      </w:r>
      <w:r>
        <w:rPr>
          <w:spacing w:val="-6"/>
        </w:rPr>
        <w:t xml:space="preserve"> </w:t>
      </w:r>
      <w:r>
        <w:t>Verpflichtung</w:t>
      </w:r>
      <w:r>
        <w:rPr>
          <w:spacing w:val="-7"/>
        </w:rPr>
        <w:t xml:space="preserve"> </w:t>
      </w:r>
      <w:r>
        <w:t>zum</w:t>
      </w:r>
      <w:r>
        <w:rPr>
          <w:spacing w:val="-6"/>
        </w:rPr>
        <w:t xml:space="preserve"> </w:t>
      </w:r>
      <w:r>
        <w:t>Kauf</w:t>
      </w:r>
      <w:r>
        <w:rPr>
          <w:spacing w:val="-2"/>
        </w:rPr>
        <w:t xml:space="preserve"> </w:t>
      </w:r>
      <w:r>
        <w:t>am</w:t>
      </w:r>
      <w:r>
        <w:rPr>
          <w:spacing w:val="-6"/>
        </w:rPr>
        <w:t xml:space="preserve"> </w:t>
      </w:r>
      <w:r>
        <w:rPr>
          <w:spacing w:val="-2"/>
        </w:rPr>
        <w:t>„Aftermarket“,</w:t>
      </w:r>
    </w:p>
    <w:p w14:paraId="42492937" w14:textId="77777777" w:rsidR="00E02435" w:rsidRDefault="00384525">
      <w:pPr>
        <w:pStyle w:val="ListParagraph"/>
        <w:numPr>
          <w:ilvl w:val="0"/>
          <w:numId w:val="1"/>
        </w:numPr>
        <w:tabs>
          <w:tab w:val="left" w:pos="1237"/>
        </w:tabs>
        <w:spacing w:before="40"/>
        <w:ind w:left="1237" w:hanging="359"/>
        <w:rPr>
          <w:sz w:val="20"/>
        </w:rPr>
      </w:pPr>
      <w:r>
        <w:rPr>
          <w:sz w:val="20"/>
        </w:rPr>
        <w:t>Weitergabe</w:t>
      </w:r>
      <w:r>
        <w:rPr>
          <w:spacing w:val="-8"/>
          <w:sz w:val="20"/>
        </w:rPr>
        <w:t xml:space="preserve"> </w:t>
      </w:r>
      <w:r>
        <w:rPr>
          <w:sz w:val="20"/>
        </w:rPr>
        <w:t>von</w:t>
      </w:r>
      <w:r>
        <w:rPr>
          <w:spacing w:val="-7"/>
          <w:sz w:val="20"/>
        </w:rPr>
        <w:t xml:space="preserve"> </w:t>
      </w:r>
      <w:r>
        <w:rPr>
          <w:sz w:val="20"/>
        </w:rPr>
        <w:t>Rabatten</w:t>
      </w:r>
      <w:r>
        <w:rPr>
          <w:spacing w:val="-5"/>
          <w:sz w:val="20"/>
        </w:rPr>
        <w:t xml:space="preserve"> </w:t>
      </w:r>
      <w:r>
        <w:rPr>
          <w:sz w:val="20"/>
        </w:rPr>
        <w:t>an</w:t>
      </w:r>
      <w:r>
        <w:rPr>
          <w:spacing w:val="-8"/>
          <w:sz w:val="20"/>
        </w:rPr>
        <w:t xml:space="preserve"> </w:t>
      </w:r>
      <w:r>
        <w:rPr>
          <w:sz w:val="20"/>
        </w:rPr>
        <w:t>Investoren</w:t>
      </w:r>
      <w:r>
        <w:rPr>
          <w:spacing w:val="-7"/>
          <w:sz w:val="20"/>
        </w:rPr>
        <w:t xml:space="preserve"> </w:t>
      </w:r>
      <w:r>
        <w:rPr>
          <w:spacing w:val="-4"/>
          <w:sz w:val="20"/>
        </w:rPr>
        <w:t>oder</w:t>
      </w:r>
    </w:p>
    <w:p w14:paraId="0A076439" w14:textId="2193FF71" w:rsidR="00E02435" w:rsidRDefault="00384525" w:rsidP="003D0065">
      <w:pPr>
        <w:pStyle w:val="ListParagraph"/>
        <w:numPr>
          <w:ilvl w:val="0"/>
          <w:numId w:val="1"/>
        </w:numPr>
        <w:tabs>
          <w:tab w:val="left" w:pos="1237"/>
        </w:tabs>
        <w:spacing w:before="38"/>
        <w:ind w:left="1237" w:hanging="359"/>
      </w:pPr>
      <w:r>
        <w:rPr>
          <w:sz w:val="20"/>
        </w:rPr>
        <w:t>Aufträge</w:t>
      </w:r>
      <w:r w:rsidRPr="003D0065">
        <w:rPr>
          <w:spacing w:val="-6"/>
          <w:sz w:val="20"/>
        </w:rPr>
        <w:t xml:space="preserve"> </w:t>
      </w:r>
      <w:r>
        <w:rPr>
          <w:sz w:val="20"/>
        </w:rPr>
        <w:t>jeglicher</w:t>
      </w:r>
      <w:r w:rsidRPr="003D0065">
        <w:rPr>
          <w:spacing w:val="-6"/>
          <w:sz w:val="20"/>
        </w:rPr>
        <w:t xml:space="preserve"> </w:t>
      </w:r>
      <w:r>
        <w:rPr>
          <w:sz w:val="20"/>
        </w:rPr>
        <w:t>Art,</w:t>
      </w:r>
      <w:r w:rsidRPr="003D0065">
        <w:rPr>
          <w:spacing w:val="-6"/>
          <w:sz w:val="20"/>
        </w:rPr>
        <w:t xml:space="preserve"> </w:t>
      </w:r>
      <w:r>
        <w:rPr>
          <w:sz w:val="20"/>
        </w:rPr>
        <w:t>die</w:t>
      </w:r>
      <w:r w:rsidRPr="003D0065">
        <w:rPr>
          <w:spacing w:val="-4"/>
          <w:sz w:val="20"/>
        </w:rPr>
        <w:t xml:space="preserve"> </w:t>
      </w:r>
      <w:r>
        <w:rPr>
          <w:sz w:val="20"/>
        </w:rPr>
        <w:t>nicht</w:t>
      </w:r>
      <w:r w:rsidRPr="003D0065">
        <w:rPr>
          <w:spacing w:val="-6"/>
          <w:sz w:val="20"/>
        </w:rPr>
        <w:t xml:space="preserve"> </w:t>
      </w:r>
      <w:r>
        <w:rPr>
          <w:sz w:val="20"/>
        </w:rPr>
        <w:t>auf</w:t>
      </w:r>
      <w:r w:rsidRPr="003D0065">
        <w:rPr>
          <w:spacing w:val="-6"/>
          <w:sz w:val="20"/>
        </w:rPr>
        <w:t xml:space="preserve"> </w:t>
      </w:r>
      <w:r>
        <w:rPr>
          <w:sz w:val="20"/>
        </w:rPr>
        <w:t>einer</w:t>
      </w:r>
      <w:r w:rsidRPr="003D0065">
        <w:rPr>
          <w:spacing w:val="-3"/>
          <w:sz w:val="20"/>
        </w:rPr>
        <w:t xml:space="preserve"> </w:t>
      </w:r>
      <w:r>
        <w:rPr>
          <w:sz w:val="20"/>
        </w:rPr>
        <w:t>reellen</w:t>
      </w:r>
      <w:r w:rsidRPr="003D0065">
        <w:rPr>
          <w:spacing w:val="-6"/>
          <w:sz w:val="20"/>
        </w:rPr>
        <w:t xml:space="preserve"> </w:t>
      </w:r>
      <w:r>
        <w:rPr>
          <w:sz w:val="20"/>
        </w:rPr>
        <w:t>Nachfrage</w:t>
      </w:r>
      <w:r w:rsidRPr="003D0065">
        <w:rPr>
          <w:spacing w:val="-5"/>
          <w:sz w:val="20"/>
        </w:rPr>
        <w:t xml:space="preserve"> </w:t>
      </w:r>
      <w:r w:rsidRPr="003D0065">
        <w:rPr>
          <w:spacing w:val="-2"/>
          <w:sz w:val="20"/>
        </w:rPr>
        <w:t>beruhen.</w:t>
      </w:r>
    </w:p>
    <w:sectPr w:rsidR="00E02435">
      <w:pgSz w:w="11910" w:h="16840"/>
      <w:pgMar w:top="1280" w:right="700" w:bottom="780" w:left="900" w:header="734"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508B" w14:textId="77777777" w:rsidR="009562C7" w:rsidRDefault="009562C7">
      <w:r>
        <w:separator/>
      </w:r>
    </w:p>
  </w:endnote>
  <w:endnote w:type="continuationSeparator" w:id="0">
    <w:p w14:paraId="68EFAA5C" w14:textId="77777777" w:rsidR="009562C7" w:rsidRDefault="0095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utsche Bank Text">
    <w:panose1 w:val="020B0503020202030204"/>
    <w:charset w:val="00"/>
    <w:family w:val="swiss"/>
    <w:pitch w:val="variable"/>
    <w:sig w:usb0="A000006F" w:usb1="0000006B" w:usb2="00000028" w:usb3="00000000" w:csb0="00000001" w:csb1="00000000"/>
  </w:font>
  <w:font w:name="Deutsche Bank Display">
    <w:panose1 w:val="020F0403020203030304"/>
    <w:charset w:val="00"/>
    <w:family w:val="swiss"/>
    <w:pitch w:val="variable"/>
    <w:sig w:usb0="A000006F" w:usb1="0000006B" w:usb2="0000002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8E79" w14:textId="2EC33E4A" w:rsidR="00E02435" w:rsidRDefault="00C552F3">
    <w:pPr>
      <w:pStyle w:val="BodyText"/>
      <w:spacing w:line="14" w:lineRule="auto"/>
    </w:pPr>
    <w:r>
      <w:rPr>
        <w:noProof/>
      </w:rPr>
      <mc:AlternateContent>
        <mc:Choice Requires="wps">
          <w:drawing>
            <wp:anchor distT="0" distB="0" distL="0" distR="0" simplePos="0" relativeHeight="487468544" behindDoc="1" locked="0" layoutInCell="1" allowOverlap="1" wp14:anchorId="21FCBD2D" wp14:editId="77F22457">
              <wp:simplePos x="0" y="0"/>
              <wp:positionH relativeFrom="page">
                <wp:posOffset>6124194</wp:posOffset>
              </wp:positionH>
              <wp:positionV relativeFrom="page">
                <wp:posOffset>10178927</wp:posOffset>
              </wp:positionV>
              <wp:extent cx="551180"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27635"/>
                      </a:xfrm>
                      <a:prstGeom prst="rect">
                        <a:avLst/>
                      </a:prstGeom>
                    </wps:spPr>
                    <wps:txbx>
                      <w:txbxContent>
                        <w:p w14:paraId="67446AEA" w14:textId="77777777" w:rsidR="00E02435" w:rsidRDefault="00384525">
                          <w:pPr>
                            <w:spacing w:line="179" w:lineRule="exact"/>
                            <w:ind w:left="20"/>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of</w:t>
                          </w:r>
                          <w:r>
                            <w:rPr>
                              <w:spacing w:val="-4"/>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w14:anchorId="21FCBD2D" id="Textbox 10" o:spid="_x0000_s1034" type="#_x0000_t202" style="position:absolute;margin-left:482.2pt;margin-top:801.5pt;width:43.4pt;height:10.0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" filled="f" stroked="f">
              <v:textbox inset="0,0,0,0">
                <w:txbxContent>
                  <w:p w14:paraId="67446AEA" w14:textId="77777777" w:rsidR="00E02435" w:rsidRDefault="00000000">
                    <w:pPr>
                      <w:spacing w:line="179" w:lineRule="exact"/>
                      <w:ind w:left="20"/>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of</w:t>
                    </w:r>
                    <w:r>
                      <w:rPr>
                        <w:spacing w:val="-4"/>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3629" w14:textId="77777777" w:rsidR="009562C7" w:rsidRDefault="009562C7">
      <w:r>
        <w:separator/>
      </w:r>
    </w:p>
  </w:footnote>
  <w:footnote w:type="continuationSeparator" w:id="0">
    <w:p w14:paraId="370C669B" w14:textId="77777777" w:rsidR="009562C7" w:rsidRDefault="0095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F13F" w14:textId="77777777" w:rsidR="00E02435" w:rsidRDefault="00384525">
    <w:pPr>
      <w:pStyle w:val="BodyText"/>
      <w:spacing w:line="14" w:lineRule="auto"/>
    </w:pPr>
    <w:r>
      <w:rPr>
        <w:noProof/>
      </w:rPr>
      <mc:AlternateContent>
        <mc:Choice Requires="wps">
          <w:drawing>
            <wp:anchor distT="0" distB="0" distL="0" distR="0" simplePos="0" relativeHeight="487467520" behindDoc="1" locked="0" layoutInCell="1" allowOverlap="1" wp14:anchorId="1D3A73A3" wp14:editId="6673007D">
              <wp:simplePos x="0" y="0"/>
              <wp:positionH relativeFrom="page">
                <wp:posOffset>888288</wp:posOffset>
              </wp:positionH>
              <wp:positionV relativeFrom="page">
                <wp:posOffset>384179</wp:posOffset>
              </wp:positionV>
              <wp:extent cx="1259840"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203835"/>
                      </a:xfrm>
                      <a:prstGeom prst="rect">
                        <a:avLst/>
                      </a:prstGeom>
                    </wps:spPr>
                    <wps:txbx>
                      <w:txbxContent>
                        <w:p w14:paraId="0DCFA6BF" w14:textId="77777777" w:rsidR="00E02435" w:rsidRDefault="00384525">
                          <w:pPr>
                            <w:spacing w:line="298" w:lineRule="exact"/>
                            <w:ind w:left="20"/>
                            <w:rPr>
                              <w:sz w:val="28"/>
                            </w:rPr>
                          </w:pPr>
                          <w:r>
                            <w:rPr>
                              <w:color w:val="0017A8"/>
                              <w:sz w:val="28"/>
                            </w:rPr>
                            <w:t>Deutsche</w:t>
                          </w:r>
                          <w:r>
                            <w:rPr>
                              <w:color w:val="0017A8"/>
                              <w:spacing w:val="-5"/>
                              <w:sz w:val="28"/>
                            </w:rPr>
                            <w:t xml:space="preserve"> </w:t>
                          </w:r>
                          <w:r>
                            <w:rPr>
                              <w:color w:val="0017A8"/>
                              <w:spacing w:val="-4"/>
                              <w:sz w:val="28"/>
                            </w:rPr>
                            <w:t>Bank</w:t>
                          </w:r>
                        </w:p>
                      </w:txbxContent>
                    </wps:txbx>
                    <wps:bodyPr wrap="square" lIns="0" tIns="0" rIns="0" bIns="0" rtlCol="0">
                      <a:noAutofit/>
                    </wps:bodyPr>
                  </wps:wsp>
                </a:graphicData>
              </a:graphic>
            </wp:anchor>
          </w:drawing>
        </mc:Choice>
        <mc:Fallback>
          <w:pict>
            <v:shapetype w14:anchorId="1D3A73A3" id="_x0000_t202" coordsize="21600,21600" o:spt="202" path="m,l,21600r21600,l21600,xe">
              <v:stroke joinstyle="miter"/>
              <v:path gradientshapeok="t" o:connecttype="rect"/>
            </v:shapetype>
            <v:shape id="Textbox 1" o:spid="_x0000_s1028" type="#_x0000_t202" style="position:absolute;margin-left:69.95pt;margin-top:30.25pt;width:99.2pt;height:16.0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" filled="f" stroked="f">
              <v:textbox inset="0,0,0,0">
                <w:txbxContent>
                  <w:p w14:paraId="0DCFA6BF" w14:textId="77777777" w:rsidR="00E02435" w:rsidRDefault="00000000">
                    <w:pPr>
                      <w:spacing w:line="298" w:lineRule="exact"/>
                      <w:ind w:left="20"/>
                      <w:rPr>
                        <w:sz w:val="28"/>
                      </w:rPr>
                    </w:pPr>
                    <w:r>
                      <w:rPr>
                        <w:color w:val="0017A8"/>
                        <w:sz w:val="28"/>
                      </w:rPr>
                      <w:t>Deutsche</w:t>
                    </w:r>
                    <w:r>
                      <w:rPr>
                        <w:color w:val="0017A8"/>
                        <w:spacing w:val="-5"/>
                        <w:sz w:val="28"/>
                      </w:rPr>
                      <w:t xml:space="preserve"> </w:t>
                    </w:r>
                    <w:r>
                      <w:rPr>
                        <w:color w:val="0017A8"/>
                        <w:spacing w:val="-4"/>
                        <w:sz w:val="28"/>
                      </w:rPr>
                      <w:t>Bank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9B9E" w14:textId="77777777" w:rsidR="00E02435" w:rsidRDefault="00384525">
    <w:pPr>
      <w:pStyle w:val="BodyText"/>
      <w:spacing w:line="14" w:lineRule="auto"/>
    </w:pPr>
    <w:r>
      <w:rPr>
        <w:noProof/>
      </w:rPr>
      <mc:AlternateContent>
        <mc:Choice Requires="wps">
          <w:drawing>
            <wp:anchor distT="0" distB="0" distL="0" distR="0" simplePos="0" relativeHeight="487468032" behindDoc="1" locked="0" layoutInCell="1" allowOverlap="1" wp14:anchorId="64E6B82A" wp14:editId="02340DA9">
              <wp:simplePos x="0" y="0"/>
              <wp:positionH relativeFrom="page">
                <wp:posOffset>888288</wp:posOffset>
              </wp:positionH>
              <wp:positionV relativeFrom="page">
                <wp:posOffset>453643</wp:posOffset>
              </wp:positionV>
              <wp:extent cx="5531485" cy="3746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1485" cy="374650"/>
                      </a:xfrm>
                      <a:prstGeom prst="rect">
                        <a:avLst/>
                      </a:prstGeom>
                    </wps:spPr>
                    <wps:txbx>
                      <w:txbxContent>
                        <w:p w14:paraId="1E2D0AD8" w14:textId="05F03490" w:rsidR="00E02435" w:rsidRDefault="00384525">
                          <w:pPr>
                            <w:spacing w:line="258" w:lineRule="exact"/>
                            <w:ind w:left="20"/>
                            <w:rPr>
                              <w:sz w:val="24"/>
                            </w:rPr>
                          </w:pPr>
                          <w:r>
                            <w:rPr>
                              <w:color w:val="0C2240"/>
                              <w:sz w:val="24"/>
                            </w:rPr>
                            <w:t>Richtlinie</w:t>
                          </w:r>
                          <w:r>
                            <w:rPr>
                              <w:color w:val="0C2240"/>
                              <w:spacing w:val="-2"/>
                              <w:sz w:val="24"/>
                            </w:rPr>
                            <w:t xml:space="preserve"> </w:t>
                          </w:r>
                          <w:r>
                            <w:rPr>
                              <w:color w:val="0C2240"/>
                              <w:sz w:val="24"/>
                            </w:rPr>
                            <w:t>für</w:t>
                          </w:r>
                          <w:r>
                            <w:rPr>
                              <w:color w:val="0C2240"/>
                              <w:spacing w:val="-1"/>
                              <w:sz w:val="24"/>
                            </w:rPr>
                            <w:t xml:space="preserve"> </w:t>
                          </w:r>
                          <w:r>
                            <w:rPr>
                              <w:color w:val="0C2240"/>
                              <w:sz w:val="24"/>
                            </w:rPr>
                            <w:t>die</w:t>
                          </w:r>
                          <w:r>
                            <w:rPr>
                              <w:color w:val="0C2240"/>
                              <w:spacing w:val="-1"/>
                              <w:sz w:val="24"/>
                            </w:rPr>
                            <w:t xml:space="preserve"> </w:t>
                          </w:r>
                          <w:r>
                            <w:rPr>
                              <w:color w:val="0C2240"/>
                              <w:sz w:val="24"/>
                            </w:rPr>
                            <w:t>Zuteilung</w:t>
                          </w:r>
                          <w:r>
                            <w:rPr>
                              <w:color w:val="0C2240"/>
                              <w:spacing w:val="-2"/>
                              <w:sz w:val="24"/>
                            </w:rPr>
                            <w:t xml:space="preserve"> </w:t>
                          </w:r>
                          <w:r>
                            <w:rPr>
                              <w:color w:val="0C2240"/>
                              <w:sz w:val="24"/>
                            </w:rPr>
                            <w:t>bei Kapitalmarktgeschäften</w:t>
                          </w:r>
                          <w:r>
                            <w:rPr>
                              <w:color w:val="0C2240"/>
                              <w:spacing w:val="-1"/>
                              <w:sz w:val="24"/>
                            </w:rPr>
                            <w:t xml:space="preserve"> </w:t>
                          </w:r>
                          <w:r>
                            <w:rPr>
                              <w:color w:val="0C2240"/>
                              <w:sz w:val="24"/>
                            </w:rPr>
                            <w:t>–</w:t>
                          </w:r>
                          <w:r>
                            <w:rPr>
                              <w:color w:val="0C2240"/>
                              <w:spacing w:val="-1"/>
                              <w:sz w:val="24"/>
                            </w:rPr>
                            <w:t xml:space="preserve"> </w:t>
                          </w:r>
                          <w:r>
                            <w:rPr>
                              <w:color w:val="0C2240"/>
                              <w:sz w:val="24"/>
                            </w:rPr>
                            <w:t>Investment</w:t>
                          </w:r>
                          <w:r>
                            <w:rPr>
                              <w:color w:val="0C2240"/>
                              <w:spacing w:val="-1"/>
                              <w:sz w:val="24"/>
                            </w:rPr>
                            <w:t xml:space="preserve"> </w:t>
                          </w:r>
                          <w:r>
                            <w:rPr>
                              <w:color w:val="0C2240"/>
                              <w:sz w:val="24"/>
                            </w:rPr>
                            <w:t>Bank</w:t>
                          </w:r>
                          <w:r>
                            <w:rPr>
                              <w:color w:val="0C2240"/>
                              <w:spacing w:val="-2"/>
                              <w:sz w:val="24"/>
                            </w:rPr>
                            <w:t xml:space="preserve"> </w:t>
                          </w:r>
                          <w:r>
                            <w:rPr>
                              <w:color w:val="0C2240"/>
                              <w:spacing w:val="-5"/>
                              <w:sz w:val="24"/>
                            </w:rPr>
                            <w:t>und</w:t>
                          </w:r>
                        </w:p>
                        <w:p w14:paraId="4105BA17" w14:textId="276FBF41" w:rsidR="00E02435" w:rsidRPr="00553F43" w:rsidRDefault="00384525">
                          <w:pPr>
                            <w:ind w:left="20"/>
                            <w:rPr>
                              <w:sz w:val="24"/>
                            </w:rPr>
                          </w:pPr>
                          <w:r w:rsidRPr="00553F43">
                            <w:rPr>
                              <w:color w:val="0C2240"/>
                              <w:sz w:val="24"/>
                            </w:rPr>
                            <w:t>Corporate</w:t>
                          </w:r>
                          <w:r w:rsidRPr="00553F43">
                            <w:rPr>
                              <w:color w:val="0C2240"/>
                              <w:spacing w:val="-3"/>
                              <w:sz w:val="24"/>
                            </w:rPr>
                            <w:t xml:space="preserve"> </w:t>
                          </w:r>
                          <w:r w:rsidRPr="00553F43">
                            <w:rPr>
                              <w:color w:val="0C2240"/>
                              <w:sz w:val="24"/>
                            </w:rPr>
                            <w:t>Bank</w:t>
                          </w:r>
                          <w:r w:rsidRPr="00553F43">
                            <w:rPr>
                              <w:color w:val="0C2240"/>
                              <w:spacing w:val="-1"/>
                              <w:sz w:val="24"/>
                            </w:rPr>
                            <w:t xml:space="preserve"> </w:t>
                          </w:r>
                          <w:r w:rsidRPr="00553F43">
                            <w:rPr>
                              <w:color w:val="0C2240"/>
                              <w:sz w:val="24"/>
                            </w:rPr>
                            <w:t>–</w:t>
                          </w:r>
                          <w:r w:rsidRPr="00553F43">
                            <w:rPr>
                              <w:color w:val="0C2240"/>
                              <w:spacing w:val="-1"/>
                              <w:sz w:val="24"/>
                            </w:rPr>
                            <w:t xml:space="preserve"> </w:t>
                          </w:r>
                          <w:r w:rsidRPr="00553F43">
                            <w:rPr>
                              <w:color w:val="0C2240"/>
                              <w:sz w:val="24"/>
                            </w:rPr>
                            <w:t>EMEA (in</w:t>
                          </w:r>
                          <w:r w:rsidR="00553F43">
                            <w:rPr>
                              <w:color w:val="0C2240"/>
                              <w:sz w:val="24"/>
                            </w:rPr>
                            <w:t>k</w:t>
                          </w:r>
                          <w:r w:rsidRPr="00553F43">
                            <w:rPr>
                              <w:color w:val="0C2240"/>
                              <w:sz w:val="24"/>
                            </w:rPr>
                            <w:t>l.</w:t>
                          </w:r>
                          <w:r w:rsidRPr="00553F43">
                            <w:rPr>
                              <w:color w:val="0C2240"/>
                              <w:spacing w:val="-1"/>
                              <w:sz w:val="24"/>
                            </w:rPr>
                            <w:t xml:space="preserve"> </w:t>
                          </w:r>
                          <w:r w:rsidRPr="00553F43">
                            <w:rPr>
                              <w:color w:val="0C2240"/>
                              <w:sz w:val="24"/>
                            </w:rPr>
                            <w:t>UKI und</w:t>
                          </w:r>
                          <w:r w:rsidRPr="00553F43">
                            <w:rPr>
                              <w:color w:val="0C2240"/>
                              <w:spacing w:val="-1"/>
                              <w:sz w:val="24"/>
                            </w:rPr>
                            <w:t xml:space="preserve"> </w:t>
                          </w:r>
                          <w:r w:rsidR="00553F43" w:rsidRPr="00553F43">
                            <w:rPr>
                              <w:color w:val="0C2240"/>
                              <w:spacing w:val="-1"/>
                              <w:sz w:val="24"/>
                            </w:rPr>
                            <w:t>Deutschland)</w:t>
                          </w:r>
                          <w:r w:rsidRPr="00553F43">
                            <w:rPr>
                              <w:color w:val="0C2240"/>
                              <w:sz w:val="24"/>
                            </w:rPr>
                            <w:t xml:space="preserve"> und </w:t>
                          </w:r>
                          <w:r w:rsidRPr="00553F43">
                            <w:rPr>
                              <w:color w:val="0C2240"/>
                              <w:spacing w:val="-4"/>
                              <w:sz w:val="24"/>
                            </w:rPr>
                            <w:t>APAC</w:t>
                          </w:r>
                        </w:p>
                      </w:txbxContent>
                    </wps:txbx>
                    <wps:bodyPr wrap="square" lIns="0" tIns="0" rIns="0" bIns="0" rtlCol="0">
                      <a:noAutofit/>
                    </wps:bodyPr>
                  </wps:wsp>
                </a:graphicData>
              </a:graphic>
            </wp:anchor>
          </w:drawing>
        </mc:Choice>
        <mc:Fallback>
          <w:pict>
            <v:shapetype w14:anchorId="64E6B82A" id="_x0000_t202" coordsize="21600,21600" o:spt="202" path="m,l,21600r21600,l21600,xe">
              <v:stroke joinstyle="miter"/>
              <v:path gradientshapeok="t" o:connecttype="rect"/>
            </v:shapetype>
            <v:shape id="Textbox 9" o:spid="_x0000_s1032" type="#_x0000_t202" style="position:absolute;margin-left:69.95pt;margin-top:35.7pt;width:435.55pt;height:29.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" filled="f" stroked="f">
              <v:textbox inset="0,0,0,0">
                <w:txbxContent>
                  <w:p w14:paraId="1E2D0AD8" w14:textId="05F03490" w:rsidR="00E02435" w:rsidRDefault="00000000">
                    <w:pPr>
                      <w:spacing w:line="258" w:lineRule="exact"/>
                      <w:ind w:left="20"/>
                      <w:rPr>
                        <w:sz w:val="24"/>
                      </w:rPr>
                    </w:pPr>
                    <w:r>
                      <w:rPr>
                        <w:color w:val="0C2240"/>
                        <w:sz w:val="24"/>
                      </w:rPr>
                      <w:t>Richtlinie</w:t>
                    </w:r>
                    <w:r>
                      <w:rPr>
                        <w:color w:val="0C2240"/>
                        <w:spacing w:val="-2"/>
                        <w:sz w:val="24"/>
                      </w:rPr>
                      <w:t xml:space="preserve"> </w:t>
                    </w:r>
                    <w:r>
                      <w:rPr>
                        <w:color w:val="0C2240"/>
                        <w:sz w:val="24"/>
                      </w:rPr>
                      <w:t>für</w:t>
                    </w:r>
                    <w:r>
                      <w:rPr>
                        <w:color w:val="0C2240"/>
                        <w:spacing w:val="-1"/>
                        <w:sz w:val="24"/>
                      </w:rPr>
                      <w:t xml:space="preserve"> </w:t>
                    </w:r>
                    <w:r>
                      <w:rPr>
                        <w:color w:val="0C2240"/>
                        <w:sz w:val="24"/>
                      </w:rPr>
                      <w:t>die</w:t>
                    </w:r>
                    <w:r>
                      <w:rPr>
                        <w:color w:val="0C2240"/>
                        <w:spacing w:val="-1"/>
                        <w:sz w:val="24"/>
                      </w:rPr>
                      <w:t xml:space="preserve"> </w:t>
                    </w:r>
                    <w:r>
                      <w:rPr>
                        <w:color w:val="0C2240"/>
                        <w:sz w:val="24"/>
                      </w:rPr>
                      <w:t>Zuteilung</w:t>
                    </w:r>
                    <w:r>
                      <w:rPr>
                        <w:color w:val="0C2240"/>
                        <w:spacing w:val="-2"/>
                        <w:sz w:val="24"/>
                      </w:rPr>
                      <w:t xml:space="preserve"> </w:t>
                    </w:r>
                    <w:r>
                      <w:rPr>
                        <w:color w:val="0C2240"/>
                        <w:sz w:val="24"/>
                      </w:rPr>
                      <w:t>bei Kapitalmarktgeschäften</w:t>
                    </w:r>
                    <w:r>
                      <w:rPr>
                        <w:color w:val="0C2240"/>
                        <w:spacing w:val="-1"/>
                        <w:sz w:val="24"/>
                      </w:rPr>
                      <w:t xml:space="preserve"> </w:t>
                    </w:r>
                    <w:r>
                      <w:rPr>
                        <w:color w:val="0C2240"/>
                        <w:sz w:val="24"/>
                      </w:rPr>
                      <w:t>–</w:t>
                    </w:r>
                    <w:r>
                      <w:rPr>
                        <w:color w:val="0C2240"/>
                        <w:spacing w:val="-1"/>
                        <w:sz w:val="24"/>
                      </w:rPr>
                      <w:t xml:space="preserve"> </w:t>
                    </w:r>
                    <w:r>
                      <w:rPr>
                        <w:color w:val="0C2240"/>
                        <w:sz w:val="24"/>
                      </w:rPr>
                      <w:t>Investment</w:t>
                    </w:r>
                    <w:r>
                      <w:rPr>
                        <w:color w:val="0C2240"/>
                        <w:spacing w:val="-1"/>
                        <w:sz w:val="24"/>
                      </w:rPr>
                      <w:t xml:space="preserve"> </w:t>
                    </w:r>
                    <w:r>
                      <w:rPr>
                        <w:color w:val="0C2240"/>
                        <w:sz w:val="24"/>
                      </w:rPr>
                      <w:t>Bank</w:t>
                    </w:r>
                    <w:r>
                      <w:rPr>
                        <w:color w:val="0C2240"/>
                        <w:spacing w:val="-2"/>
                        <w:sz w:val="24"/>
                      </w:rPr>
                      <w:t xml:space="preserve"> </w:t>
                    </w:r>
                    <w:r>
                      <w:rPr>
                        <w:color w:val="0C2240"/>
                        <w:spacing w:val="-5"/>
                        <w:sz w:val="24"/>
                      </w:rPr>
                      <w:t>und</w:t>
                    </w:r>
                  </w:p>
                  <w:p w14:paraId="4105BA17" w14:textId="276FBF41" w:rsidR="00E02435" w:rsidRPr="00553F43" w:rsidRDefault="00000000">
                    <w:pPr>
                      <w:ind w:left="20"/>
                      <w:rPr>
                        <w:sz w:val="24"/>
                      </w:rPr>
                    </w:pPr>
                    <w:r w:rsidRPr="00553F43">
                      <w:rPr>
                        <w:color w:val="0C2240"/>
                        <w:sz w:val="24"/>
                      </w:rPr>
                      <w:t>Corporate</w:t>
                    </w:r>
                    <w:r w:rsidRPr="00553F43">
                      <w:rPr>
                        <w:color w:val="0C2240"/>
                        <w:spacing w:val="-3"/>
                        <w:sz w:val="24"/>
                      </w:rPr>
                      <w:t xml:space="preserve"> </w:t>
                    </w:r>
                    <w:r w:rsidRPr="00553F43">
                      <w:rPr>
                        <w:color w:val="0C2240"/>
                        <w:sz w:val="24"/>
                      </w:rPr>
                      <w:t>Bank</w:t>
                    </w:r>
                    <w:r w:rsidRPr="00553F43">
                      <w:rPr>
                        <w:color w:val="0C2240"/>
                        <w:spacing w:val="-1"/>
                        <w:sz w:val="24"/>
                      </w:rPr>
                      <w:t xml:space="preserve"> </w:t>
                    </w:r>
                    <w:r w:rsidRPr="00553F43">
                      <w:rPr>
                        <w:color w:val="0C2240"/>
                        <w:sz w:val="24"/>
                      </w:rPr>
                      <w:t>–</w:t>
                    </w:r>
                    <w:r w:rsidRPr="00553F43">
                      <w:rPr>
                        <w:color w:val="0C2240"/>
                        <w:spacing w:val="-1"/>
                        <w:sz w:val="24"/>
                      </w:rPr>
                      <w:t xml:space="preserve"> </w:t>
                    </w:r>
                    <w:r w:rsidRPr="00553F43">
                      <w:rPr>
                        <w:color w:val="0C2240"/>
                        <w:sz w:val="24"/>
                      </w:rPr>
                      <w:t>EMEA (in</w:t>
                    </w:r>
                    <w:r w:rsidR="00553F43">
                      <w:rPr>
                        <w:color w:val="0C2240"/>
                        <w:sz w:val="24"/>
                      </w:rPr>
                      <w:t>k</w:t>
                    </w:r>
                    <w:r w:rsidRPr="00553F43">
                      <w:rPr>
                        <w:color w:val="0C2240"/>
                        <w:sz w:val="24"/>
                      </w:rPr>
                      <w:t>l.</w:t>
                    </w:r>
                    <w:r w:rsidRPr="00553F43">
                      <w:rPr>
                        <w:color w:val="0C2240"/>
                        <w:spacing w:val="-1"/>
                        <w:sz w:val="24"/>
                      </w:rPr>
                      <w:t xml:space="preserve"> </w:t>
                    </w:r>
                    <w:r w:rsidRPr="00553F43">
                      <w:rPr>
                        <w:color w:val="0C2240"/>
                        <w:sz w:val="24"/>
                      </w:rPr>
                      <w:t>UKI und</w:t>
                    </w:r>
                    <w:r w:rsidRPr="00553F43">
                      <w:rPr>
                        <w:color w:val="0C2240"/>
                        <w:spacing w:val="-1"/>
                        <w:sz w:val="24"/>
                      </w:rPr>
                      <w:t xml:space="preserve"> </w:t>
                    </w:r>
                    <w:r w:rsidR="00553F43" w:rsidRPr="00553F43">
                      <w:rPr>
                        <w:color w:val="0C2240"/>
                        <w:spacing w:val="-1"/>
                        <w:sz w:val="24"/>
                      </w:rPr>
                      <w:t>Deutschland)</w:t>
                    </w:r>
                    <w:r w:rsidRPr="00553F43">
                      <w:rPr>
                        <w:color w:val="0C2240"/>
                        <w:sz w:val="24"/>
                      </w:rPr>
                      <w:t xml:space="preserve"> und </w:t>
                    </w:r>
                    <w:r w:rsidRPr="00553F43">
                      <w:rPr>
                        <w:color w:val="0C2240"/>
                        <w:spacing w:val="-4"/>
                        <w:sz w:val="24"/>
                      </w:rPr>
                      <w:t>APAC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7A1"/>
    <w:multiLevelType w:val="hybridMultilevel"/>
    <w:tmpl w:val="4A58A7DC"/>
    <w:lvl w:ilvl="0" w:tplc="167CD5BC">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400903"/>
    <w:multiLevelType w:val="multilevel"/>
    <w:tmpl w:val="A6AE0BC8"/>
    <w:lvl w:ilvl="0">
      <w:start w:val="1"/>
      <w:numFmt w:val="decimal"/>
      <w:lvlText w:val="%1."/>
      <w:lvlJc w:val="left"/>
      <w:pPr>
        <w:ind w:left="943" w:hanging="425"/>
      </w:pPr>
      <w:rPr>
        <w:rFonts w:ascii="Deutsche Bank Text" w:eastAsia="Deutsche Bank Text" w:hAnsi="Deutsche Bank Text" w:cs="Deutsche Bank Text" w:hint="default"/>
        <w:b w:val="0"/>
        <w:bCs w:val="0"/>
        <w:i w:val="0"/>
        <w:iCs w:val="0"/>
        <w:spacing w:val="0"/>
        <w:w w:val="100"/>
        <w:sz w:val="22"/>
        <w:szCs w:val="22"/>
        <w:lang w:val="de-DE" w:eastAsia="en-US" w:bidi="ar-SA"/>
      </w:rPr>
    </w:lvl>
    <w:lvl w:ilvl="1">
      <w:start w:val="1"/>
      <w:numFmt w:val="decimal"/>
      <w:lvlText w:val="%1.%2."/>
      <w:lvlJc w:val="left"/>
      <w:pPr>
        <w:ind w:left="1682" w:hanging="711"/>
      </w:pPr>
      <w:rPr>
        <w:rFonts w:ascii="Deutsche Bank Text" w:eastAsia="Deutsche Bank Text" w:hAnsi="Deutsche Bank Text" w:cs="Deutsche Bank Text" w:hint="default"/>
        <w:b w:val="0"/>
        <w:bCs w:val="0"/>
        <w:i w:val="0"/>
        <w:iCs w:val="0"/>
        <w:spacing w:val="-1"/>
        <w:w w:val="99"/>
        <w:sz w:val="20"/>
        <w:szCs w:val="20"/>
        <w:lang w:val="de-DE" w:eastAsia="en-US" w:bidi="ar-SA"/>
      </w:rPr>
    </w:lvl>
    <w:lvl w:ilvl="2">
      <w:numFmt w:val="bullet"/>
      <w:lvlText w:val="•"/>
      <w:lvlJc w:val="left"/>
      <w:pPr>
        <w:ind w:left="2638" w:hanging="711"/>
      </w:pPr>
      <w:rPr>
        <w:rFonts w:hint="default"/>
        <w:lang w:val="de-DE" w:eastAsia="en-US" w:bidi="ar-SA"/>
      </w:rPr>
    </w:lvl>
    <w:lvl w:ilvl="3">
      <w:numFmt w:val="bullet"/>
      <w:lvlText w:val="•"/>
      <w:lvlJc w:val="left"/>
      <w:pPr>
        <w:ind w:left="3596" w:hanging="711"/>
      </w:pPr>
      <w:rPr>
        <w:rFonts w:hint="default"/>
        <w:lang w:val="de-DE" w:eastAsia="en-US" w:bidi="ar-SA"/>
      </w:rPr>
    </w:lvl>
    <w:lvl w:ilvl="4">
      <w:numFmt w:val="bullet"/>
      <w:lvlText w:val="•"/>
      <w:lvlJc w:val="left"/>
      <w:pPr>
        <w:ind w:left="4555" w:hanging="711"/>
      </w:pPr>
      <w:rPr>
        <w:rFonts w:hint="default"/>
        <w:lang w:val="de-DE" w:eastAsia="en-US" w:bidi="ar-SA"/>
      </w:rPr>
    </w:lvl>
    <w:lvl w:ilvl="5">
      <w:numFmt w:val="bullet"/>
      <w:lvlText w:val="•"/>
      <w:lvlJc w:val="left"/>
      <w:pPr>
        <w:ind w:left="5513" w:hanging="711"/>
      </w:pPr>
      <w:rPr>
        <w:rFonts w:hint="default"/>
        <w:lang w:val="de-DE" w:eastAsia="en-US" w:bidi="ar-SA"/>
      </w:rPr>
    </w:lvl>
    <w:lvl w:ilvl="6">
      <w:numFmt w:val="bullet"/>
      <w:lvlText w:val="•"/>
      <w:lvlJc w:val="left"/>
      <w:pPr>
        <w:ind w:left="6472" w:hanging="711"/>
      </w:pPr>
      <w:rPr>
        <w:rFonts w:hint="default"/>
        <w:lang w:val="de-DE" w:eastAsia="en-US" w:bidi="ar-SA"/>
      </w:rPr>
    </w:lvl>
    <w:lvl w:ilvl="7">
      <w:numFmt w:val="bullet"/>
      <w:lvlText w:val="•"/>
      <w:lvlJc w:val="left"/>
      <w:pPr>
        <w:ind w:left="7430" w:hanging="711"/>
      </w:pPr>
      <w:rPr>
        <w:rFonts w:hint="default"/>
        <w:lang w:val="de-DE" w:eastAsia="en-US" w:bidi="ar-SA"/>
      </w:rPr>
    </w:lvl>
    <w:lvl w:ilvl="8">
      <w:numFmt w:val="bullet"/>
      <w:lvlText w:val="•"/>
      <w:lvlJc w:val="left"/>
      <w:pPr>
        <w:ind w:left="8389" w:hanging="711"/>
      </w:pPr>
      <w:rPr>
        <w:rFonts w:hint="default"/>
        <w:lang w:val="de-DE" w:eastAsia="en-US" w:bidi="ar-SA"/>
      </w:rPr>
    </w:lvl>
  </w:abstractNum>
  <w:abstractNum w:abstractNumId="2" w15:restartNumberingAfterBreak="0">
    <w:nsid w:val="4CB86BD1"/>
    <w:multiLevelType w:val="hybridMultilevel"/>
    <w:tmpl w:val="0574A156"/>
    <w:lvl w:ilvl="0" w:tplc="E6F6E6BC">
      <w:numFmt w:val="bullet"/>
      <w:lvlText w:val=""/>
      <w:lvlJc w:val="left"/>
      <w:pPr>
        <w:ind w:left="1238" w:hanging="360"/>
      </w:pPr>
      <w:rPr>
        <w:rFonts w:ascii="Symbol" w:eastAsia="Symbol" w:hAnsi="Symbol" w:cs="Symbol" w:hint="default"/>
        <w:b w:val="0"/>
        <w:bCs w:val="0"/>
        <w:i w:val="0"/>
        <w:iCs w:val="0"/>
        <w:spacing w:val="0"/>
        <w:w w:val="99"/>
        <w:sz w:val="20"/>
        <w:szCs w:val="20"/>
        <w:lang w:val="de-DE" w:eastAsia="en-US" w:bidi="ar-SA"/>
      </w:rPr>
    </w:lvl>
    <w:lvl w:ilvl="1" w:tplc="3B1CF4AC">
      <w:numFmt w:val="bullet"/>
      <w:lvlText w:val="•"/>
      <w:lvlJc w:val="left"/>
      <w:pPr>
        <w:ind w:left="2146" w:hanging="360"/>
      </w:pPr>
      <w:rPr>
        <w:rFonts w:hint="default"/>
        <w:lang w:val="de-DE" w:eastAsia="en-US" w:bidi="ar-SA"/>
      </w:rPr>
    </w:lvl>
    <w:lvl w:ilvl="2" w:tplc="0124F9BE">
      <w:numFmt w:val="bullet"/>
      <w:lvlText w:val="•"/>
      <w:lvlJc w:val="left"/>
      <w:pPr>
        <w:ind w:left="3053" w:hanging="360"/>
      </w:pPr>
      <w:rPr>
        <w:rFonts w:hint="default"/>
        <w:lang w:val="de-DE" w:eastAsia="en-US" w:bidi="ar-SA"/>
      </w:rPr>
    </w:lvl>
    <w:lvl w:ilvl="3" w:tplc="7A967344">
      <w:numFmt w:val="bullet"/>
      <w:lvlText w:val="•"/>
      <w:lvlJc w:val="left"/>
      <w:pPr>
        <w:ind w:left="3959" w:hanging="360"/>
      </w:pPr>
      <w:rPr>
        <w:rFonts w:hint="default"/>
        <w:lang w:val="de-DE" w:eastAsia="en-US" w:bidi="ar-SA"/>
      </w:rPr>
    </w:lvl>
    <w:lvl w:ilvl="4" w:tplc="86A60288">
      <w:numFmt w:val="bullet"/>
      <w:lvlText w:val="•"/>
      <w:lvlJc w:val="left"/>
      <w:pPr>
        <w:ind w:left="4866" w:hanging="360"/>
      </w:pPr>
      <w:rPr>
        <w:rFonts w:hint="default"/>
        <w:lang w:val="de-DE" w:eastAsia="en-US" w:bidi="ar-SA"/>
      </w:rPr>
    </w:lvl>
    <w:lvl w:ilvl="5" w:tplc="6A2CAB9E">
      <w:numFmt w:val="bullet"/>
      <w:lvlText w:val="•"/>
      <w:lvlJc w:val="left"/>
      <w:pPr>
        <w:ind w:left="5773" w:hanging="360"/>
      </w:pPr>
      <w:rPr>
        <w:rFonts w:hint="default"/>
        <w:lang w:val="de-DE" w:eastAsia="en-US" w:bidi="ar-SA"/>
      </w:rPr>
    </w:lvl>
    <w:lvl w:ilvl="6" w:tplc="729EB6F0">
      <w:numFmt w:val="bullet"/>
      <w:lvlText w:val="•"/>
      <w:lvlJc w:val="left"/>
      <w:pPr>
        <w:ind w:left="6679" w:hanging="360"/>
      </w:pPr>
      <w:rPr>
        <w:rFonts w:hint="default"/>
        <w:lang w:val="de-DE" w:eastAsia="en-US" w:bidi="ar-SA"/>
      </w:rPr>
    </w:lvl>
    <w:lvl w:ilvl="7" w:tplc="B82E664E">
      <w:numFmt w:val="bullet"/>
      <w:lvlText w:val="•"/>
      <w:lvlJc w:val="left"/>
      <w:pPr>
        <w:ind w:left="7586" w:hanging="360"/>
      </w:pPr>
      <w:rPr>
        <w:rFonts w:hint="default"/>
        <w:lang w:val="de-DE" w:eastAsia="en-US" w:bidi="ar-SA"/>
      </w:rPr>
    </w:lvl>
    <w:lvl w:ilvl="8" w:tplc="21DC4422">
      <w:numFmt w:val="bullet"/>
      <w:lvlText w:val="•"/>
      <w:lvlJc w:val="left"/>
      <w:pPr>
        <w:ind w:left="8493" w:hanging="360"/>
      </w:pPr>
      <w:rPr>
        <w:rFonts w:hint="default"/>
        <w:lang w:val="de-DE" w:eastAsia="en-US" w:bidi="ar-SA"/>
      </w:rPr>
    </w:lvl>
  </w:abstractNum>
  <w:abstractNum w:abstractNumId="3" w15:restartNumberingAfterBreak="0">
    <w:nsid w:val="5FE34FE8"/>
    <w:multiLevelType w:val="multilevel"/>
    <w:tmpl w:val="62ACF91A"/>
    <w:lvl w:ilvl="0">
      <w:start w:val="1"/>
      <w:numFmt w:val="decimal"/>
      <w:lvlText w:val="%1."/>
      <w:lvlJc w:val="left"/>
      <w:pPr>
        <w:ind w:left="1226" w:hanging="708"/>
      </w:pPr>
      <w:rPr>
        <w:rFonts w:ascii="Deutsche Bank Text" w:eastAsia="Deutsche Bank Text" w:hAnsi="Deutsche Bank Text" w:cs="Deutsche Bank Text" w:hint="default"/>
        <w:b w:val="0"/>
        <w:bCs w:val="0"/>
        <w:i w:val="0"/>
        <w:iCs w:val="0"/>
        <w:color w:val="0017A8"/>
        <w:spacing w:val="-1"/>
        <w:w w:val="100"/>
        <w:sz w:val="24"/>
        <w:szCs w:val="24"/>
        <w:lang w:val="de-DE" w:eastAsia="en-US" w:bidi="ar-SA"/>
      </w:rPr>
    </w:lvl>
    <w:lvl w:ilvl="1">
      <w:start w:val="1"/>
      <w:numFmt w:val="decimal"/>
      <w:lvlText w:val="%1.%2."/>
      <w:lvlJc w:val="left"/>
      <w:pPr>
        <w:ind w:left="1226" w:hanging="708"/>
      </w:pPr>
      <w:rPr>
        <w:rFonts w:ascii="Deutsche Bank Text" w:eastAsia="Deutsche Bank Text" w:hAnsi="Deutsche Bank Text" w:cs="Deutsche Bank Text" w:hint="default"/>
        <w:b w:val="0"/>
        <w:bCs w:val="0"/>
        <w:i w:val="0"/>
        <w:iCs w:val="0"/>
        <w:color w:val="0017A8"/>
        <w:spacing w:val="0"/>
        <w:w w:val="100"/>
        <w:sz w:val="24"/>
        <w:szCs w:val="24"/>
        <w:lang w:val="de-DE" w:eastAsia="en-US" w:bidi="ar-SA"/>
      </w:rPr>
    </w:lvl>
    <w:lvl w:ilvl="2">
      <w:numFmt w:val="bullet"/>
      <w:lvlText w:val=""/>
      <w:lvlJc w:val="left"/>
      <w:pPr>
        <w:ind w:left="1390" w:hanging="512"/>
      </w:pPr>
      <w:rPr>
        <w:rFonts w:ascii="Symbol" w:eastAsia="Symbol" w:hAnsi="Symbol" w:cs="Symbol" w:hint="default"/>
        <w:b w:val="0"/>
        <w:bCs w:val="0"/>
        <w:i w:val="0"/>
        <w:iCs w:val="0"/>
        <w:spacing w:val="0"/>
        <w:w w:val="99"/>
        <w:sz w:val="20"/>
        <w:szCs w:val="20"/>
        <w:lang w:val="de-DE" w:eastAsia="en-US" w:bidi="ar-SA"/>
      </w:rPr>
    </w:lvl>
    <w:lvl w:ilvl="3">
      <w:numFmt w:val="bullet"/>
      <w:lvlText w:val="•"/>
      <w:lvlJc w:val="left"/>
      <w:pPr>
        <w:ind w:left="3379" w:hanging="512"/>
      </w:pPr>
      <w:rPr>
        <w:rFonts w:hint="default"/>
        <w:lang w:val="de-DE" w:eastAsia="en-US" w:bidi="ar-SA"/>
      </w:rPr>
    </w:lvl>
    <w:lvl w:ilvl="4">
      <w:numFmt w:val="bullet"/>
      <w:lvlText w:val="•"/>
      <w:lvlJc w:val="left"/>
      <w:pPr>
        <w:ind w:left="4368" w:hanging="512"/>
      </w:pPr>
      <w:rPr>
        <w:rFonts w:hint="default"/>
        <w:lang w:val="de-DE" w:eastAsia="en-US" w:bidi="ar-SA"/>
      </w:rPr>
    </w:lvl>
    <w:lvl w:ilvl="5">
      <w:numFmt w:val="bullet"/>
      <w:lvlText w:val="•"/>
      <w:lvlJc w:val="left"/>
      <w:pPr>
        <w:ind w:left="5358" w:hanging="512"/>
      </w:pPr>
      <w:rPr>
        <w:rFonts w:hint="default"/>
        <w:lang w:val="de-DE" w:eastAsia="en-US" w:bidi="ar-SA"/>
      </w:rPr>
    </w:lvl>
    <w:lvl w:ilvl="6">
      <w:numFmt w:val="bullet"/>
      <w:lvlText w:val="•"/>
      <w:lvlJc w:val="left"/>
      <w:pPr>
        <w:ind w:left="6348" w:hanging="512"/>
      </w:pPr>
      <w:rPr>
        <w:rFonts w:hint="default"/>
        <w:lang w:val="de-DE" w:eastAsia="en-US" w:bidi="ar-SA"/>
      </w:rPr>
    </w:lvl>
    <w:lvl w:ilvl="7">
      <w:numFmt w:val="bullet"/>
      <w:lvlText w:val="•"/>
      <w:lvlJc w:val="left"/>
      <w:pPr>
        <w:ind w:left="7337" w:hanging="512"/>
      </w:pPr>
      <w:rPr>
        <w:rFonts w:hint="default"/>
        <w:lang w:val="de-DE" w:eastAsia="en-US" w:bidi="ar-SA"/>
      </w:rPr>
    </w:lvl>
    <w:lvl w:ilvl="8">
      <w:numFmt w:val="bullet"/>
      <w:lvlText w:val="•"/>
      <w:lvlJc w:val="left"/>
      <w:pPr>
        <w:ind w:left="8327" w:hanging="512"/>
      </w:pPr>
      <w:rPr>
        <w:rFonts w:hint="default"/>
        <w:lang w:val="de-DE" w:eastAsia="en-US" w:bidi="ar-SA"/>
      </w:rPr>
    </w:lvl>
  </w:abstractNum>
  <w:num w:numId="1" w16cid:durableId="1136485268">
    <w:abstractNumId w:val="2"/>
  </w:num>
  <w:num w:numId="2" w16cid:durableId="211314197">
    <w:abstractNumId w:val="3"/>
  </w:num>
  <w:num w:numId="3" w16cid:durableId="500894631">
    <w:abstractNumId w:val="1"/>
  </w:num>
  <w:num w:numId="4" w16cid:durableId="102999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35"/>
    <w:rsid w:val="001323BE"/>
    <w:rsid w:val="00134AF4"/>
    <w:rsid w:val="001747C6"/>
    <w:rsid w:val="001D5510"/>
    <w:rsid w:val="002210C9"/>
    <w:rsid w:val="00384525"/>
    <w:rsid w:val="003D0065"/>
    <w:rsid w:val="004D4BE2"/>
    <w:rsid w:val="004E7852"/>
    <w:rsid w:val="0052262C"/>
    <w:rsid w:val="0054501B"/>
    <w:rsid w:val="00553F43"/>
    <w:rsid w:val="005D221E"/>
    <w:rsid w:val="00625111"/>
    <w:rsid w:val="007E3F04"/>
    <w:rsid w:val="007F35F6"/>
    <w:rsid w:val="007F5979"/>
    <w:rsid w:val="00830CAC"/>
    <w:rsid w:val="008836EF"/>
    <w:rsid w:val="00897D5D"/>
    <w:rsid w:val="009562C7"/>
    <w:rsid w:val="00A613EF"/>
    <w:rsid w:val="00B0199B"/>
    <w:rsid w:val="00BD16F8"/>
    <w:rsid w:val="00C0690A"/>
    <w:rsid w:val="00C552F3"/>
    <w:rsid w:val="00CB5E8C"/>
    <w:rsid w:val="00E02435"/>
    <w:rsid w:val="00F00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5C78B"/>
  <w15:docId w15:val="{FD3FCE35-DBAE-43B0-9FBA-B7D1F211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utsche Bank Text" w:eastAsia="Deutsche Bank Text" w:hAnsi="Deutsche Bank Text" w:cs="Deutsche Bank Text"/>
      <w:lang w:val="de-DE"/>
    </w:rPr>
  </w:style>
  <w:style w:type="paragraph" w:styleId="Heading1">
    <w:name w:val="heading 1"/>
    <w:basedOn w:val="Normal"/>
    <w:uiPriority w:val="9"/>
    <w:qFormat/>
    <w:pPr>
      <w:ind w:left="1226" w:hanging="70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72"/>
      <w:ind w:left="943" w:hanging="425"/>
    </w:pPr>
  </w:style>
  <w:style w:type="paragraph" w:styleId="TOC2">
    <w:name w:val="toc 2"/>
    <w:basedOn w:val="Normal"/>
    <w:uiPriority w:val="1"/>
    <w:qFormat/>
    <w:pPr>
      <w:spacing w:before="76"/>
      <w:ind w:left="1682" w:hanging="71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20"/>
      <w:ind w:left="518" w:right="763"/>
    </w:pPr>
    <w:rPr>
      <w:rFonts w:ascii="Deutsche Bank Display" w:eastAsia="Deutsche Bank Display" w:hAnsi="Deutsche Bank Display" w:cs="Deutsche Bank Display"/>
      <w:sz w:val="60"/>
      <w:szCs w:val="60"/>
    </w:rPr>
  </w:style>
  <w:style w:type="paragraph" w:styleId="ListParagraph">
    <w:name w:val="List Paragraph"/>
    <w:basedOn w:val="Normal"/>
    <w:uiPriority w:val="1"/>
    <w:qFormat/>
    <w:pPr>
      <w:ind w:left="1390" w:hanging="512"/>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552F3"/>
    <w:pPr>
      <w:tabs>
        <w:tab w:val="center" w:pos="4536"/>
        <w:tab w:val="right" w:pos="9072"/>
      </w:tabs>
    </w:pPr>
  </w:style>
  <w:style w:type="character" w:customStyle="1" w:styleId="FooterChar">
    <w:name w:val="Footer Char"/>
    <w:basedOn w:val="DefaultParagraphFont"/>
    <w:link w:val="Footer"/>
    <w:uiPriority w:val="99"/>
    <w:rsid w:val="00C552F3"/>
    <w:rPr>
      <w:rFonts w:ascii="Deutsche Bank Text" w:eastAsia="Deutsche Bank Text" w:hAnsi="Deutsche Bank Text" w:cs="Deutsche Bank Text"/>
      <w:lang w:val="de-DE"/>
    </w:rPr>
  </w:style>
  <w:style w:type="paragraph" w:styleId="Header">
    <w:name w:val="header"/>
    <w:basedOn w:val="Normal"/>
    <w:link w:val="HeaderChar"/>
    <w:uiPriority w:val="99"/>
    <w:unhideWhenUsed/>
    <w:rsid w:val="00A613EF"/>
    <w:pPr>
      <w:tabs>
        <w:tab w:val="center" w:pos="4536"/>
        <w:tab w:val="right" w:pos="9072"/>
      </w:tabs>
    </w:pPr>
  </w:style>
  <w:style w:type="character" w:customStyle="1" w:styleId="HeaderChar">
    <w:name w:val="Header Char"/>
    <w:basedOn w:val="DefaultParagraphFont"/>
    <w:link w:val="Header"/>
    <w:uiPriority w:val="99"/>
    <w:rsid w:val="00A613EF"/>
    <w:rPr>
      <w:rFonts w:ascii="Deutsche Bank Text" w:eastAsia="Deutsche Bank Text" w:hAnsi="Deutsche Bank Text" w:cs="Deutsche Bank Tex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11405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Richtlinien für die Zuteilung bei Kapitalmarktgeschäften – Investmentbank und Unternehmensbank – EMEA (einschließlich Großbritannien, Irland und Deutschland) und APAC</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für die Zuteilung bei Kapitalmarktgeschäften – Investmentbank und Unternehmensbank – EMEA (einschließlich Großbritannien, Irland und Deutschland) und APAC</dc:title>
  <dc:creator>Deutsche Bank AG</dc:creator>
  <cp:keywords>Public</cp:keywords>
  <cp:lastModifiedBy>Glen Barlow</cp:lastModifiedBy>
  <cp:revision>3</cp:revision>
  <dcterms:created xsi:type="dcterms:W3CDTF">2025-12-17T11:43:00Z</dcterms:created>
  <dcterms:modified xsi:type="dcterms:W3CDTF">2025-12-17T11:44:00Z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LastSaved">
    <vt:filetime>2025-12-15T00:00:00Z</vt:filetime>
  </property>
  <property fmtid="{D5CDD505-2E9C-101B-9397-08002B2CF9AE}" pid="4" name="MSIP_Label_1b7f8449-e5d3-4eba-8da7-ffd6ca5bf3e9_Enabled">
    <vt:lpwstr>true</vt:lpwstr>
  </property>
  <property fmtid="{D5CDD505-2E9C-101B-9397-08002B2CF9AE}" pid="5" name="MSIP_Label_1b7f8449-e5d3-4eba-8da7-ffd6ca5bf3e9_SetDate">
    <vt:lpwstr>2025-12-17T11:43:33Z</vt:lpwstr>
  </property>
  <property fmtid="{D5CDD505-2E9C-101B-9397-08002B2CF9AE}" pid="6" name="MSIP_Label_1b7f8449-e5d3-4eba-8da7-ffd6ca5bf3e9_Method">
    <vt:lpwstr>Privileged</vt:lpwstr>
  </property>
  <property fmtid="{D5CDD505-2E9C-101B-9397-08002B2CF9AE}" pid="7" name="MSIP_Label_1b7f8449-e5d3-4eba-8da7-ffd6ca5bf3e9_Name">
    <vt:lpwstr>1b7f8449-e5d3-4eba-8da7-ffd6ca5bf3e9</vt:lpwstr>
  </property>
  <property fmtid="{D5CDD505-2E9C-101B-9397-08002B2CF9AE}" pid="8" name="MSIP_Label_1b7f8449-e5d3-4eba-8da7-ffd6ca5bf3e9_SiteId">
    <vt:lpwstr>1e9b61e8-e590-4abc-b1af-24125e330d2a</vt:lpwstr>
  </property>
  <property fmtid="{D5CDD505-2E9C-101B-9397-08002B2CF9AE}" pid="9" name="MSIP_Label_1b7f8449-e5d3-4eba-8da7-ffd6ca5bf3e9_ActionId">
    <vt:lpwstr>6399ec67-d05d-4b2d-abd8-7c399b5f71f9</vt:lpwstr>
  </property>
  <property fmtid="{D5CDD505-2E9C-101B-9397-08002B2CF9AE}" pid="10" name="MSIP_Label_1b7f8449-e5d3-4eba-8da7-ffd6ca5bf3e9_ContentBits">
    <vt:lpwstr>0</vt:lpwstr>
  </property>
  <property fmtid="{D5CDD505-2E9C-101B-9397-08002B2CF9AE}" pid="11" name="MSIP_Label_1b7f8449-e5d3-4eba-8da7-ffd6ca5bf3e9_Tag">
    <vt:lpwstr>10, 0, 1, 1</vt:lpwstr>
  </property>
</Properties>
</file>