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69C" w14:textId="77777777" w:rsidR="00AD57E4" w:rsidRPr="0053531E" w:rsidRDefault="00AD57E4" w:rsidP="00E710B3">
      <w:pPr>
        <w:ind w:firstLine="709"/>
        <w:jc w:val="both"/>
        <w:rPr>
          <w:rFonts w:ascii="Deutsche Bank Text" w:hAnsi="Deutsche Bank Text" w:cs="Deutsche Bank Text"/>
        </w:rPr>
      </w:pPr>
    </w:p>
    <w:p w14:paraId="4CB0F7C5" w14:textId="77777777" w:rsidR="00AD57E4" w:rsidRPr="0053531E" w:rsidRDefault="00AD57E4" w:rsidP="00E710B3">
      <w:pPr>
        <w:ind w:firstLine="709"/>
        <w:jc w:val="both"/>
        <w:rPr>
          <w:rFonts w:ascii="Deutsche Bank Text" w:hAnsi="Deutsche Bank Text" w:cs="Deutsche Bank Text"/>
        </w:rPr>
      </w:pPr>
    </w:p>
    <w:p w14:paraId="33BE1722" w14:textId="69683A46" w:rsidR="00E710B3" w:rsidRPr="0053531E" w:rsidRDefault="00E710B3" w:rsidP="00443FDE">
      <w:pPr>
        <w:ind w:firstLine="709"/>
        <w:jc w:val="both"/>
        <w:rPr>
          <w:rFonts w:ascii="Deutsche Bank Text" w:hAnsi="Deutsche Bank Text" w:cs="Deutsche Bank Text"/>
        </w:rPr>
      </w:pPr>
      <w:r w:rsidRPr="0053531E">
        <w:rPr>
          <w:rFonts w:ascii="Deutsche Bank Text" w:hAnsi="Deutsche Bank Text" w:cs="Deutsche Bank Text"/>
        </w:rPr>
        <w:t>All capitalized terms used herein and not otherwise defined shall have the respective meanings provided (a) in the ISDA August 2012 DF Protocol Supplement</w:t>
      </w:r>
      <w:r w:rsidR="006261B6" w:rsidRPr="0053531E">
        <w:rPr>
          <w:rStyle w:val="FootnoteReference"/>
          <w:rFonts w:ascii="Deutsche Bank Text" w:hAnsi="Deutsche Bank Text" w:cs="Deutsche Bank Text"/>
        </w:rPr>
        <w:footnoteReference w:id="1"/>
      </w:r>
      <w:r w:rsidRPr="0053531E">
        <w:rPr>
          <w:rFonts w:ascii="Deutsche Bank Text" w:hAnsi="Deutsche Bank Text" w:cs="Deutsche Bank Text"/>
        </w:rPr>
        <w:t>, published by International Swaps and Derivatives Association, Inc. (“ISDA”) on August 13, 2012 with respect to “Swaps” (as defined therein) and (b) in the ISDA SBS Supplement</w:t>
      </w:r>
      <w:r w:rsidR="00EC610A" w:rsidRPr="0053531E">
        <w:rPr>
          <w:rStyle w:val="FootnoteReference"/>
          <w:rFonts w:ascii="Deutsche Bank Text" w:hAnsi="Deutsche Bank Text" w:cs="Deutsche Bank Text"/>
        </w:rPr>
        <w:footnoteReference w:id="2"/>
      </w:r>
      <w:r w:rsidRPr="0053531E">
        <w:rPr>
          <w:rFonts w:ascii="Deutsche Bank Text" w:hAnsi="Deutsche Bank Text" w:cs="Deutsche Bank Text"/>
        </w:rPr>
        <w:t xml:space="preserve">, published by ISDA on May 3, 2021 with respect to “SBS” (as defined therein). References to </w:t>
      </w:r>
      <w:r w:rsidR="00CB4D3E" w:rsidRPr="0053531E">
        <w:rPr>
          <w:rFonts w:ascii="Deutsche Bank Text" w:hAnsi="Deutsche Bank Text" w:cs="Deutsche Bank Text"/>
        </w:rPr>
        <w:t>swap dealer (</w:t>
      </w:r>
      <w:r w:rsidRPr="0053531E">
        <w:rPr>
          <w:rFonts w:ascii="Deutsche Bank Text" w:hAnsi="Deutsche Bank Text" w:cs="Deutsche Bank Text"/>
        </w:rPr>
        <w:t>“SD”</w:t>
      </w:r>
      <w:r w:rsidR="00CB4D3E" w:rsidRPr="0053531E">
        <w:rPr>
          <w:rFonts w:ascii="Deutsche Bank Text" w:hAnsi="Deutsche Bank Text" w:cs="Deutsche Bank Text"/>
        </w:rPr>
        <w:t>)</w:t>
      </w:r>
      <w:r w:rsidRPr="0053531E">
        <w:rPr>
          <w:rFonts w:ascii="Deutsche Bank Text" w:hAnsi="Deutsche Bank Text" w:cs="Deutsche Bank Text"/>
        </w:rPr>
        <w:t xml:space="preserve"> or </w:t>
      </w:r>
      <w:r w:rsidR="00CB4D3E" w:rsidRPr="0053531E">
        <w:rPr>
          <w:rFonts w:ascii="Deutsche Bank Text" w:hAnsi="Deutsche Bank Text" w:cs="Deutsche Bank Text"/>
        </w:rPr>
        <w:t>security-based swap dealer (</w:t>
      </w:r>
      <w:r w:rsidRPr="0053531E">
        <w:rPr>
          <w:rFonts w:ascii="Deutsche Bank Text" w:hAnsi="Deutsche Bank Text" w:cs="Deutsche Bank Text"/>
        </w:rPr>
        <w:t>“SBSD”</w:t>
      </w:r>
      <w:r w:rsidR="00CB4D3E" w:rsidRPr="0053531E">
        <w:rPr>
          <w:rFonts w:ascii="Deutsche Bank Text" w:hAnsi="Deutsche Bank Text" w:cs="Deutsche Bank Text"/>
        </w:rPr>
        <w:t>)</w:t>
      </w:r>
      <w:r w:rsidRPr="0053531E">
        <w:rPr>
          <w:rFonts w:ascii="Deutsche Bank Text" w:hAnsi="Deutsche Bank Text" w:cs="Deutsche Bank Text"/>
        </w:rPr>
        <w:t xml:space="preserve"> shall mean Deutsche Bank AG (“DBAG”) and references to “Counterparty” shall mean you, if you are transacting with DBAG and you are a U.S. person, or if you are transacting in SBS with DBAG </w:t>
      </w:r>
      <w:r w:rsidR="00205262">
        <w:rPr>
          <w:rFonts w:ascii="Deutsche Bank Text" w:hAnsi="Deutsche Bank Text" w:cs="Deutsche Bank Text"/>
        </w:rPr>
        <w:t xml:space="preserve">and </w:t>
      </w:r>
      <w:r w:rsidRPr="0053531E">
        <w:rPr>
          <w:rFonts w:ascii="Deutsche Bank Text" w:hAnsi="Deutsche Bank Text" w:cs="Deutsche Bank Text"/>
        </w:rPr>
        <w:t>are not a U.S. Person, but the SBS is arranged, negotiated</w:t>
      </w:r>
      <w:r w:rsidR="00C33AAB" w:rsidRPr="0053531E">
        <w:rPr>
          <w:rFonts w:ascii="Deutsche Bank Text" w:hAnsi="Deutsche Bank Text" w:cs="Deutsche Bank Text"/>
        </w:rPr>
        <w:t>,</w:t>
      </w:r>
      <w:r w:rsidRPr="0053531E">
        <w:rPr>
          <w:rFonts w:ascii="Deutsche Bank Text" w:hAnsi="Deutsche Bank Text" w:cs="Deutsche Bank Text"/>
        </w:rPr>
        <w:t xml:space="preserve"> or executed by personnel of DBAG located in the United States.</w:t>
      </w:r>
    </w:p>
    <w:p w14:paraId="67C3E074" w14:textId="77777777" w:rsidR="00E710B3" w:rsidRPr="0053531E" w:rsidRDefault="00E710B3" w:rsidP="00E710B3">
      <w:pPr>
        <w:jc w:val="both"/>
        <w:rPr>
          <w:rFonts w:ascii="Deutsche Bank Text" w:hAnsi="Deutsche Bank Text" w:cs="Deutsche Bank Text"/>
        </w:rPr>
      </w:pPr>
    </w:p>
    <w:p w14:paraId="2ED4105E" w14:textId="12B9D98E" w:rsidR="00E710B3" w:rsidRPr="0053531E" w:rsidRDefault="00E710B3" w:rsidP="00B60A78">
      <w:pPr>
        <w:pStyle w:val="ListParagraph"/>
        <w:numPr>
          <w:ilvl w:val="0"/>
          <w:numId w:val="9"/>
        </w:numPr>
        <w:jc w:val="both"/>
        <w:rPr>
          <w:rFonts w:ascii="Deutsche Bank Text" w:hAnsi="Deutsche Bank Text" w:cs="Deutsche Bank Text"/>
          <w:sz w:val="20"/>
          <w:szCs w:val="20"/>
          <w:u w:val="single"/>
        </w:rPr>
      </w:pPr>
      <w:r w:rsidRPr="0053531E">
        <w:rPr>
          <w:rFonts w:ascii="Deutsche Bank Text" w:hAnsi="Deutsche Bank Text" w:cs="Deutsche Bank Text"/>
          <w:sz w:val="20"/>
          <w:szCs w:val="20"/>
          <w:u w:val="single"/>
        </w:rPr>
        <w:t>Daily Mark</w:t>
      </w:r>
    </w:p>
    <w:p w14:paraId="69F6BAEA" w14:textId="468140B4" w:rsidR="00B60A78" w:rsidRPr="0053531E" w:rsidRDefault="00B60A78" w:rsidP="00B60A78">
      <w:pPr>
        <w:pStyle w:val="ListParagraph"/>
        <w:ind w:left="1440"/>
        <w:jc w:val="both"/>
        <w:rPr>
          <w:rFonts w:ascii="Deutsche Bank Text" w:hAnsi="Deutsche Bank Text" w:cs="Deutsche Bank Text"/>
          <w:sz w:val="20"/>
          <w:szCs w:val="20"/>
        </w:rPr>
      </w:pPr>
    </w:p>
    <w:p w14:paraId="7D6DD9C9" w14:textId="2785A7CD" w:rsidR="00E710B3" w:rsidRPr="0053531E" w:rsidRDefault="00E710B3" w:rsidP="00D95864">
      <w:pPr>
        <w:ind w:left="709"/>
        <w:jc w:val="both"/>
        <w:rPr>
          <w:rFonts w:ascii="Deutsche Bank Text" w:hAnsi="Deutsche Bank Text" w:cs="Deutsche Bank Text"/>
        </w:rPr>
      </w:pPr>
      <w:r w:rsidRPr="0053531E">
        <w:rPr>
          <w:rFonts w:ascii="Deutsche Bank Text" w:hAnsi="Deutsche Bank Text" w:cs="Deutsche Bank Text"/>
        </w:rPr>
        <w:t>If Counterparty is not a Regulated Swap Entity</w:t>
      </w:r>
      <w:r w:rsidR="007F649C" w:rsidRPr="0053531E">
        <w:rPr>
          <w:rStyle w:val="FootnoteReference"/>
          <w:rFonts w:ascii="Deutsche Bank Text" w:hAnsi="Deutsche Bank Text" w:cs="Deutsche Bank Text"/>
        </w:rPr>
        <w:footnoteReference w:id="3"/>
      </w:r>
      <w:r w:rsidRPr="0053531E">
        <w:rPr>
          <w:rFonts w:ascii="Deutsche Bank Text" w:hAnsi="Deutsche Bank Text" w:cs="Deutsche Bank Text"/>
        </w:rPr>
        <w:t>, Counterparty has the right to receive</w:t>
      </w:r>
      <w:r w:rsidR="00610279" w:rsidRPr="0053531E">
        <w:rPr>
          <w:rFonts w:ascii="Deutsche Bank Text" w:hAnsi="Deutsche Bank Text" w:cs="Deutsche Bank Text"/>
        </w:rPr>
        <w:t>, upon request,</w:t>
      </w:r>
      <w:r w:rsidRPr="0053531E">
        <w:rPr>
          <w:rFonts w:ascii="Deutsche Bank Text" w:hAnsi="Deutsche Bank Text" w:cs="Deutsche Bank Text"/>
        </w:rPr>
        <w:t xml:space="preserve"> the daily mark for (a) cleared Swaps originally executed by Counterparty with DBAG from the relevant DCO and (b) cleared SBS originally executed by Counterparty with DBAG from the relevant clearing agency through which Counterparty clears such cleared SBS or another third party. </w:t>
      </w:r>
    </w:p>
    <w:p w14:paraId="5A7BB819" w14:textId="77777777" w:rsidR="00D95864" w:rsidRPr="0053531E" w:rsidRDefault="00D95864" w:rsidP="00D95864">
      <w:pPr>
        <w:ind w:left="709"/>
        <w:jc w:val="both"/>
        <w:rPr>
          <w:rFonts w:ascii="Deutsche Bank Text" w:hAnsi="Deutsche Bank Text" w:cs="Deutsche Bank Text"/>
        </w:rPr>
      </w:pPr>
    </w:p>
    <w:p w14:paraId="52400504" w14:textId="17E4655B" w:rsidR="00D95864" w:rsidRPr="0053531E" w:rsidRDefault="00E55C4F" w:rsidP="0030656C">
      <w:pPr>
        <w:pStyle w:val="ListParagraph"/>
        <w:numPr>
          <w:ilvl w:val="0"/>
          <w:numId w:val="14"/>
        </w:numPr>
        <w:jc w:val="both"/>
        <w:rPr>
          <w:rFonts w:ascii="Deutsche Bank Text" w:hAnsi="Deutsche Bank Text" w:cs="Deutsche Bank Text"/>
          <w:sz w:val="20"/>
          <w:szCs w:val="20"/>
        </w:rPr>
      </w:pPr>
      <w:r w:rsidRPr="0053531E">
        <w:rPr>
          <w:rFonts w:ascii="Deutsche Bank Text" w:hAnsi="Deutsche Bank Text" w:cs="Deutsche Bank Text"/>
          <w:sz w:val="20"/>
          <w:szCs w:val="20"/>
        </w:rPr>
        <w:t>CFTC</w:t>
      </w:r>
      <w:r w:rsidR="00610279" w:rsidRPr="0053531E">
        <w:rPr>
          <w:rFonts w:ascii="Deutsche Bank Text" w:hAnsi="Deutsche Bank Text" w:cs="Deutsche Bank Text"/>
          <w:sz w:val="20"/>
          <w:szCs w:val="20"/>
        </w:rPr>
        <w:t>-Regulated</w:t>
      </w:r>
      <w:r w:rsidRPr="0053531E">
        <w:rPr>
          <w:rFonts w:ascii="Deutsche Bank Text" w:hAnsi="Deutsche Bank Text" w:cs="Deutsche Bank Text"/>
          <w:sz w:val="20"/>
          <w:szCs w:val="20"/>
        </w:rPr>
        <w:t xml:space="preserve"> Swaps</w:t>
      </w:r>
    </w:p>
    <w:p w14:paraId="5230FE38" w14:textId="77777777" w:rsidR="00443FDE" w:rsidRPr="0053531E" w:rsidRDefault="00443FDE" w:rsidP="00443FDE">
      <w:pPr>
        <w:pStyle w:val="ListParagraph"/>
        <w:ind w:left="1440"/>
        <w:jc w:val="both"/>
        <w:rPr>
          <w:rFonts w:ascii="Deutsche Bank Text" w:hAnsi="Deutsche Bank Text" w:cs="Deutsche Bank Text"/>
          <w:sz w:val="20"/>
          <w:szCs w:val="20"/>
        </w:rPr>
      </w:pPr>
    </w:p>
    <w:p w14:paraId="1ACF16CD" w14:textId="7FBE478E" w:rsidR="00E710B3" w:rsidRPr="0053531E" w:rsidRDefault="00E710B3" w:rsidP="00754CD5">
      <w:pPr>
        <w:ind w:left="1418"/>
        <w:jc w:val="both"/>
        <w:rPr>
          <w:rFonts w:ascii="Deutsche Bank Text" w:hAnsi="Deutsche Bank Text" w:cs="Deutsche Bank Text"/>
        </w:rPr>
      </w:pPr>
      <w:r w:rsidRPr="0053531E">
        <w:rPr>
          <w:rFonts w:ascii="Deutsche Bank Text" w:hAnsi="Deutsche Bank Text" w:cs="Deutsche Bank Text"/>
        </w:rPr>
        <w:t>If Counterparty is not a Regulated Swap Entity, DBAG hereby discloses to Counterparty, in respect of a daily mark for an</w:t>
      </w:r>
      <w:r w:rsidR="00265EDA" w:rsidRPr="0053531E">
        <w:rPr>
          <w:rFonts w:ascii="Deutsche Bank Text" w:hAnsi="Deutsche Bank Text" w:cs="Deutsche Bank Text"/>
        </w:rPr>
        <w:t>y</w:t>
      </w:r>
      <w:r w:rsidRPr="0053531E">
        <w:rPr>
          <w:rFonts w:ascii="Deutsche Bank Text" w:hAnsi="Deutsche Bank Text" w:cs="Deutsche Bank Text"/>
        </w:rPr>
        <w:t xml:space="preserve"> uncleared Swap provided to Counterparty by DBAG pursuant to CFTC </w:t>
      </w:r>
      <w:r w:rsidR="000C7323" w:rsidRPr="0053531E">
        <w:rPr>
          <w:rFonts w:ascii="Deutsche Bank Text" w:hAnsi="Deutsche Bank Text" w:cs="Deutsche Bank Text"/>
        </w:rPr>
        <w:t xml:space="preserve">Regulation </w:t>
      </w:r>
      <w:r w:rsidRPr="0053531E">
        <w:rPr>
          <w:rFonts w:ascii="Deutsche Bank Text" w:hAnsi="Deutsche Bank Text" w:cs="Deutsche Bank Text"/>
        </w:rPr>
        <w:t xml:space="preserve">23.431(d), that: </w:t>
      </w:r>
    </w:p>
    <w:p w14:paraId="35B8A5BA" w14:textId="77777777" w:rsidR="00BF7D79" w:rsidRPr="0053531E" w:rsidRDefault="00BF7D79" w:rsidP="0030656C">
      <w:pPr>
        <w:ind w:left="1418"/>
        <w:jc w:val="both"/>
        <w:rPr>
          <w:rFonts w:ascii="Deutsche Bank Text" w:hAnsi="Deutsche Bank Text" w:cs="Deutsche Bank Text"/>
        </w:rPr>
      </w:pPr>
    </w:p>
    <w:p w14:paraId="3FA38AFB" w14:textId="4A758B00" w:rsidR="00D41C70" w:rsidRPr="0053531E" w:rsidRDefault="00E710B3" w:rsidP="00141D6D">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the daily mark </w:t>
      </w:r>
      <w:r w:rsidR="00D41C70" w:rsidRPr="0053531E">
        <w:rPr>
          <w:rFonts w:ascii="Deutsche Bank Text" w:hAnsi="Deutsche Bank Text" w:cs="Deutsche Bank Text"/>
          <w:sz w:val="20"/>
          <w:szCs w:val="20"/>
        </w:rPr>
        <w:t xml:space="preserve">represents a valuation determined by DBAG using commercially reasonable methodologies </w:t>
      </w:r>
      <w:r w:rsidR="00936101" w:rsidRPr="0053531E">
        <w:rPr>
          <w:rFonts w:ascii="Deutsche Bank Text" w:hAnsi="Deutsche Bank Text" w:cs="Deutsche Bank Text"/>
          <w:sz w:val="20"/>
          <w:szCs w:val="20"/>
        </w:rPr>
        <w:t>and assumptions and is not required to be a mid-market mark;</w:t>
      </w:r>
    </w:p>
    <w:p w14:paraId="44CF2B09" w14:textId="4CCBA333" w:rsidR="00E710B3" w:rsidRPr="0053531E" w:rsidRDefault="00FE59F2" w:rsidP="00141D6D">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the daily mark </w:t>
      </w:r>
      <w:r w:rsidR="00E710B3" w:rsidRPr="0053531E">
        <w:rPr>
          <w:rFonts w:ascii="Deutsche Bank Text" w:hAnsi="Deutsche Bank Text" w:cs="Deutsche Bank Text"/>
          <w:sz w:val="20"/>
          <w:szCs w:val="20"/>
        </w:rPr>
        <w:t>may not necessarily be a price at which either Counterparty or DBAG</w:t>
      </w:r>
      <w:r w:rsidR="005651FF" w:rsidRPr="0053531E">
        <w:rPr>
          <w:rFonts w:ascii="Deutsche Bank Text" w:hAnsi="Deutsche Bank Text" w:cs="Deutsche Bank Text"/>
          <w:sz w:val="20"/>
          <w:szCs w:val="20"/>
        </w:rPr>
        <w:t xml:space="preserve"> </w:t>
      </w:r>
      <w:r w:rsidR="00E710B3" w:rsidRPr="0053531E">
        <w:rPr>
          <w:rFonts w:ascii="Deutsche Bank Text" w:hAnsi="Deutsche Bank Text" w:cs="Deutsche Bank Text"/>
          <w:sz w:val="20"/>
          <w:szCs w:val="20"/>
        </w:rPr>
        <w:t>would agree to replace</w:t>
      </w:r>
      <w:r w:rsidR="00455AD4" w:rsidRPr="0053531E">
        <w:rPr>
          <w:rFonts w:ascii="Deutsche Bank Text" w:hAnsi="Deutsche Bank Text" w:cs="Deutsche Bank Text"/>
          <w:sz w:val="20"/>
          <w:szCs w:val="20"/>
        </w:rPr>
        <w:t xml:space="preserve"> </w:t>
      </w:r>
      <w:r w:rsidR="00E710B3" w:rsidRPr="0053531E">
        <w:rPr>
          <w:rFonts w:ascii="Deutsche Bank Text" w:hAnsi="Deutsche Bank Text" w:cs="Deutsche Bank Text"/>
          <w:sz w:val="20"/>
          <w:szCs w:val="20"/>
        </w:rPr>
        <w:t xml:space="preserve">or terminate the Swap; </w:t>
      </w:r>
      <w:r w:rsidR="00E97D5F" w:rsidRPr="0053531E">
        <w:rPr>
          <w:rFonts w:ascii="Deutsche Bank Text" w:hAnsi="Deutsche Bank Text" w:cs="Deutsche Bank Text"/>
          <w:sz w:val="20"/>
          <w:szCs w:val="20"/>
        </w:rPr>
        <w:t>and</w:t>
      </w:r>
    </w:p>
    <w:p w14:paraId="38F01C45" w14:textId="4D833C90" w:rsidR="00E710B3" w:rsidRPr="0053531E" w:rsidRDefault="007D0D6A" w:rsidP="00D769D4">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margin calls </w:t>
      </w:r>
      <w:r w:rsidR="00E710B3" w:rsidRPr="0053531E">
        <w:rPr>
          <w:rFonts w:ascii="Deutsche Bank Text" w:hAnsi="Deutsche Bank Text" w:cs="Deutsche Bank Text"/>
          <w:sz w:val="20"/>
          <w:szCs w:val="20"/>
        </w:rPr>
        <w:t xml:space="preserve">may be based on considerations other than the daily mark provided to Counterparty; and the daily mark may not necessarily be the value of the Swap that is marked on the books of DBAG. </w:t>
      </w:r>
    </w:p>
    <w:p w14:paraId="0FED6831" w14:textId="77777777" w:rsidR="00DC06BB" w:rsidRPr="0053531E" w:rsidRDefault="00DC06BB" w:rsidP="00DC06BB">
      <w:pPr>
        <w:ind w:left="1418"/>
        <w:jc w:val="both"/>
        <w:rPr>
          <w:rFonts w:ascii="Deutsche Bank Text" w:hAnsi="Deutsche Bank Text" w:cs="Deutsche Bank Text"/>
        </w:rPr>
      </w:pPr>
    </w:p>
    <w:p w14:paraId="33F6CBF8" w14:textId="16139DC8" w:rsidR="00DC06BB" w:rsidRPr="0053531E" w:rsidRDefault="00DC06BB" w:rsidP="00DC06BB">
      <w:pPr>
        <w:ind w:left="1418"/>
        <w:jc w:val="both"/>
        <w:rPr>
          <w:rFonts w:ascii="Deutsche Bank Text" w:hAnsi="Deutsche Bank Text" w:cs="Deutsche Bank Text"/>
        </w:rPr>
      </w:pPr>
      <w:r w:rsidRPr="0053531E">
        <w:rPr>
          <w:rFonts w:ascii="Deutsche Bank Text" w:hAnsi="Deutsche Bank Text" w:cs="Deutsche Bank Text"/>
        </w:rPr>
        <w:t xml:space="preserve">For Swaps subject to </w:t>
      </w:r>
      <w:r w:rsidR="006D5ECC" w:rsidRPr="0053531E">
        <w:rPr>
          <w:rFonts w:ascii="Deutsche Bank Text" w:hAnsi="Deutsche Bank Text" w:cs="Deutsche Bank Text"/>
        </w:rPr>
        <w:t>daily variation margin requirements, delivery or notice of variation margin satisfies the daily mark obligation</w:t>
      </w:r>
      <w:r w:rsidR="002319F5" w:rsidRPr="0053531E">
        <w:rPr>
          <w:rFonts w:ascii="Deutsche Bank Text" w:hAnsi="Deutsche Bank Text" w:cs="Deutsche Bank Text"/>
        </w:rPr>
        <w:t xml:space="preserve"> and no separate </w:t>
      </w:r>
      <w:r w:rsidR="00CD73CA" w:rsidRPr="0053531E">
        <w:rPr>
          <w:rFonts w:ascii="Deutsche Bank Text" w:hAnsi="Deutsche Bank Text" w:cs="Deutsche Bank Text"/>
        </w:rPr>
        <w:t xml:space="preserve">notice of the </w:t>
      </w:r>
      <w:r w:rsidR="002319F5" w:rsidRPr="0053531E">
        <w:rPr>
          <w:rFonts w:ascii="Deutsche Bank Text" w:hAnsi="Deutsche Bank Text" w:cs="Deutsche Bank Text"/>
        </w:rPr>
        <w:t xml:space="preserve">daily mark </w:t>
      </w:r>
      <w:r w:rsidR="00610279" w:rsidRPr="0053531E">
        <w:rPr>
          <w:rFonts w:ascii="Deutsche Bank Text" w:hAnsi="Deutsche Bank Text" w:cs="Deutsche Bank Text"/>
        </w:rPr>
        <w:t>will be provided</w:t>
      </w:r>
      <w:r w:rsidR="002319F5" w:rsidRPr="0053531E">
        <w:rPr>
          <w:rFonts w:ascii="Deutsche Bank Text" w:hAnsi="Deutsche Bank Text" w:cs="Deutsche Bank Text"/>
        </w:rPr>
        <w:t xml:space="preserve">. </w:t>
      </w:r>
    </w:p>
    <w:p w14:paraId="2EE82FF3" w14:textId="77777777" w:rsidR="00611627" w:rsidRPr="0053531E" w:rsidRDefault="00611627" w:rsidP="00DC06BB">
      <w:pPr>
        <w:ind w:left="1418"/>
        <w:jc w:val="both"/>
        <w:rPr>
          <w:rFonts w:ascii="Deutsche Bank Text" w:hAnsi="Deutsche Bank Text" w:cs="Deutsche Bank Text"/>
        </w:rPr>
      </w:pPr>
    </w:p>
    <w:p w14:paraId="3FE99365" w14:textId="767ED9C1" w:rsidR="00611627" w:rsidRPr="0053531E" w:rsidRDefault="00A93F75" w:rsidP="00DC06BB">
      <w:pPr>
        <w:ind w:left="1418"/>
        <w:jc w:val="both"/>
        <w:rPr>
          <w:rFonts w:ascii="Deutsche Bank Text" w:hAnsi="Deutsche Bank Text" w:cs="Deutsche Bank Text"/>
        </w:rPr>
      </w:pPr>
      <w:r w:rsidRPr="0053531E">
        <w:rPr>
          <w:rFonts w:ascii="Deutsche Bank Text" w:hAnsi="Deutsche Bank Text" w:cs="Deutsche Bank Text"/>
        </w:rPr>
        <w:t xml:space="preserve">For uncleared Swaps not subject to daily variation margin requirements, </w:t>
      </w:r>
      <w:r w:rsidR="00611627" w:rsidRPr="0053531E">
        <w:rPr>
          <w:rFonts w:ascii="Deutsche Bank Text" w:hAnsi="Deutsche Bank Text" w:cs="Deutsche Bank Text"/>
        </w:rPr>
        <w:t>DBAG shall</w:t>
      </w:r>
      <w:r w:rsidR="005871FB" w:rsidRPr="0053531E">
        <w:rPr>
          <w:rFonts w:ascii="Deutsche Bank Text" w:hAnsi="Deutsche Bank Text" w:cs="Deutsche Bank Text"/>
        </w:rPr>
        <w:t xml:space="preserve"> </w:t>
      </w:r>
      <w:r w:rsidR="00611627" w:rsidRPr="0053531E">
        <w:rPr>
          <w:rFonts w:ascii="Deutsche Bank Text" w:hAnsi="Deutsche Bank Text" w:cs="Deutsche Bank Text"/>
        </w:rPr>
        <w:t>disclos</w:t>
      </w:r>
      <w:r w:rsidR="00BB4790" w:rsidRPr="0053531E">
        <w:rPr>
          <w:rFonts w:ascii="Deutsche Bank Text" w:hAnsi="Deutsche Bank Text" w:cs="Deutsche Bank Text"/>
        </w:rPr>
        <w:t>e</w:t>
      </w:r>
      <w:r w:rsidR="00611627" w:rsidRPr="0053531E">
        <w:rPr>
          <w:rFonts w:ascii="Deutsche Bank Text" w:hAnsi="Deutsche Bank Text" w:cs="Deutsche Bank Text"/>
        </w:rPr>
        <w:t xml:space="preserve"> the methodologies and material assumptions used to determine daily marks in accordance with the CFTC Regulation 23.431(d)(4).</w:t>
      </w:r>
    </w:p>
    <w:p w14:paraId="10024F32" w14:textId="77777777" w:rsidR="00273B10" w:rsidRPr="0053531E" w:rsidRDefault="00273B10" w:rsidP="00DC06BB">
      <w:pPr>
        <w:ind w:left="1418"/>
        <w:jc w:val="both"/>
        <w:rPr>
          <w:rFonts w:ascii="Deutsche Bank Text" w:hAnsi="Deutsche Bank Text" w:cs="Deutsche Bank Text"/>
        </w:rPr>
      </w:pPr>
    </w:p>
    <w:p w14:paraId="6368F6EB" w14:textId="255AB818" w:rsidR="00273B10" w:rsidRPr="0053531E" w:rsidRDefault="00273B10" w:rsidP="00273B10">
      <w:pPr>
        <w:pStyle w:val="ListParagraph"/>
        <w:numPr>
          <w:ilvl w:val="0"/>
          <w:numId w:val="14"/>
        </w:numPr>
        <w:jc w:val="both"/>
        <w:rPr>
          <w:rFonts w:ascii="Deutsche Bank Text" w:hAnsi="Deutsche Bank Text" w:cs="Deutsche Bank Text"/>
          <w:sz w:val="20"/>
          <w:szCs w:val="20"/>
        </w:rPr>
      </w:pPr>
      <w:r w:rsidRPr="0053531E">
        <w:rPr>
          <w:rFonts w:ascii="Deutsche Bank Text" w:hAnsi="Deutsche Bank Text" w:cs="Deutsche Bank Text"/>
          <w:sz w:val="20"/>
          <w:szCs w:val="20"/>
        </w:rPr>
        <w:t>Security-Based Swaps</w:t>
      </w:r>
    </w:p>
    <w:p w14:paraId="4CD589E2" w14:textId="77777777" w:rsidR="00273B10" w:rsidRPr="0053531E" w:rsidRDefault="00273B10" w:rsidP="00273B10">
      <w:pPr>
        <w:pStyle w:val="ListParagraph"/>
        <w:ind w:left="1440"/>
        <w:jc w:val="both"/>
        <w:rPr>
          <w:rFonts w:ascii="Deutsche Bank Text" w:hAnsi="Deutsche Bank Text" w:cs="Deutsche Bank Text"/>
          <w:sz w:val="20"/>
          <w:szCs w:val="20"/>
        </w:rPr>
      </w:pPr>
    </w:p>
    <w:p w14:paraId="655E5DD7" w14:textId="79FDEC03" w:rsidR="00696DA5" w:rsidRPr="0053531E" w:rsidRDefault="00427785" w:rsidP="00696DA5">
      <w:pPr>
        <w:ind w:left="1418"/>
        <w:jc w:val="both"/>
        <w:rPr>
          <w:rFonts w:ascii="Deutsche Bank Text" w:hAnsi="Deutsche Bank Text" w:cs="Deutsche Bank Text"/>
        </w:rPr>
      </w:pPr>
      <w:r w:rsidRPr="0053531E">
        <w:rPr>
          <w:rFonts w:ascii="Deutsche Bank Text" w:hAnsi="Deutsche Bank Text" w:cs="Deutsche Bank Text"/>
        </w:rPr>
        <w:t>If Counterparty is not a Regulated Swap Entity, DBAG hereby discloses to Counterparty, in respect of a daily mark for an</w:t>
      </w:r>
      <w:r w:rsidR="00696DA5" w:rsidRPr="0053531E">
        <w:rPr>
          <w:rFonts w:ascii="Deutsche Bank Text" w:hAnsi="Deutsche Bank Text" w:cs="Deutsche Bank Text"/>
        </w:rPr>
        <w:t xml:space="preserve">y </w:t>
      </w:r>
      <w:r w:rsidRPr="0053531E">
        <w:rPr>
          <w:rFonts w:ascii="Deutsche Bank Text" w:hAnsi="Deutsche Bank Text" w:cs="Deutsche Bank Text"/>
        </w:rPr>
        <w:t xml:space="preserve">uncleared </w:t>
      </w:r>
      <w:r w:rsidR="00696DA5" w:rsidRPr="0053531E">
        <w:rPr>
          <w:rFonts w:ascii="Deutsche Bank Text" w:hAnsi="Deutsche Bank Text" w:cs="Deutsche Bank Text"/>
        </w:rPr>
        <w:t xml:space="preserve">SBS provided to Counterparty </w:t>
      </w:r>
      <w:r w:rsidR="00A976A0" w:rsidRPr="0053531E">
        <w:rPr>
          <w:rFonts w:ascii="Deutsche Bank Text" w:hAnsi="Deutsche Bank Text" w:cs="Deutsche Bank Text"/>
        </w:rPr>
        <w:t xml:space="preserve">pursuant to SEC </w:t>
      </w:r>
      <w:r w:rsidR="000C7323" w:rsidRPr="0053531E">
        <w:rPr>
          <w:rFonts w:ascii="Deutsche Bank Text" w:hAnsi="Deutsche Bank Text" w:cs="Deutsche Bank Text"/>
        </w:rPr>
        <w:t xml:space="preserve">Regulation </w:t>
      </w:r>
      <w:r w:rsidR="008712F9" w:rsidRPr="0053531E">
        <w:rPr>
          <w:rFonts w:ascii="Deutsche Bank Text" w:hAnsi="Deutsche Bank Text" w:cs="Deutsche Bank Text"/>
        </w:rPr>
        <w:t>240.15Fh</w:t>
      </w:r>
      <w:r w:rsidR="00A976A0" w:rsidRPr="0053531E">
        <w:rPr>
          <w:rFonts w:ascii="Deutsche Bank Text" w:hAnsi="Deutsche Bank Text" w:cs="Deutsche Bank Text"/>
        </w:rPr>
        <w:t>-3(c)(2)</w:t>
      </w:r>
      <w:r w:rsidR="005278C5" w:rsidRPr="0053531E">
        <w:rPr>
          <w:rFonts w:ascii="Deutsche Bank Text" w:hAnsi="Deutsche Bank Text" w:cs="Deutsche Bank Text"/>
        </w:rPr>
        <w:t>, that:</w:t>
      </w:r>
    </w:p>
    <w:p w14:paraId="442F5A24" w14:textId="77777777" w:rsidR="00BF7D79" w:rsidRPr="0053531E" w:rsidRDefault="00BF7D79" w:rsidP="00696DA5">
      <w:pPr>
        <w:ind w:left="1418"/>
        <w:jc w:val="both"/>
        <w:rPr>
          <w:rFonts w:ascii="Deutsche Bank Text" w:hAnsi="Deutsche Bank Text" w:cs="Deutsche Bank Text"/>
        </w:rPr>
      </w:pPr>
    </w:p>
    <w:p w14:paraId="5F924905" w14:textId="1D48B1FC" w:rsidR="00004644" w:rsidRPr="0053531E" w:rsidRDefault="00004644" w:rsidP="0030656C">
      <w:pPr>
        <w:pStyle w:val="ListParagraph"/>
        <w:numPr>
          <w:ilvl w:val="0"/>
          <w:numId w:val="16"/>
        </w:numPr>
        <w:jc w:val="both"/>
        <w:rPr>
          <w:rFonts w:ascii="Deutsche Bank Text" w:hAnsi="Deutsche Bank Text" w:cs="Deutsche Bank Text"/>
          <w:sz w:val="20"/>
          <w:szCs w:val="20"/>
        </w:rPr>
      </w:pPr>
      <w:r w:rsidRPr="0053531E">
        <w:rPr>
          <w:rFonts w:ascii="Deutsche Bank Text" w:hAnsi="Deutsche Bank Text" w:cs="Deutsche Bank Text"/>
          <w:sz w:val="20"/>
          <w:szCs w:val="20"/>
        </w:rPr>
        <w:lastRenderedPageBreak/>
        <w:t>the daily mark may not necessarily be a price at which either Counterparty or DBAG</w:t>
      </w:r>
      <w:r w:rsidR="00142B57" w:rsidRPr="0053531E">
        <w:rPr>
          <w:rFonts w:ascii="Deutsche Bank Text" w:hAnsi="Deutsche Bank Text" w:cs="Deutsche Bank Text"/>
          <w:sz w:val="20"/>
          <w:szCs w:val="20"/>
        </w:rPr>
        <w:t xml:space="preserve"> </w:t>
      </w:r>
      <w:r w:rsidRPr="0053531E">
        <w:rPr>
          <w:rFonts w:ascii="Deutsche Bank Text" w:hAnsi="Deutsche Bank Text" w:cs="Deutsche Bank Text"/>
          <w:sz w:val="20"/>
          <w:szCs w:val="20"/>
        </w:rPr>
        <w:t xml:space="preserve">would agree to replace or terminate the SBS; </w:t>
      </w:r>
    </w:p>
    <w:p w14:paraId="4DA61255" w14:textId="7196B0BF" w:rsidR="00273B10" w:rsidRPr="0053531E" w:rsidRDefault="00004644" w:rsidP="0030656C">
      <w:pPr>
        <w:pStyle w:val="ListParagraph"/>
        <w:numPr>
          <w:ilvl w:val="0"/>
          <w:numId w:val="16"/>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margin </w:t>
      </w:r>
      <w:r w:rsidR="00A93F75" w:rsidRPr="0053531E">
        <w:rPr>
          <w:rFonts w:ascii="Deutsche Bank Text" w:hAnsi="Deutsche Bank Text" w:cs="Deutsche Bank Text"/>
          <w:sz w:val="20"/>
          <w:szCs w:val="20"/>
        </w:rPr>
        <w:t xml:space="preserve">calls </w:t>
      </w:r>
      <w:r w:rsidRPr="0053531E">
        <w:rPr>
          <w:rFonts w:ascii="Deutsche Bank Text" w:hAnsi="Deutsche Bank Text" w:cs="Deutsche Bank Text"/>
          <w:sz w:val="20"/>
          <w:szCs w:val="20"/>
        </w:rPr>
        <w:t>may be based on considerations other than the daily mark provided to Counterparty; and</w:t>
      </w:r>
      <w:r w:rsidR="00A93F75" w:rsidRPr="0053531E">
        <w:rPr>
          <w:rFonts w:ascii="Deutsche Bank Text" w:hAnsi="Deutsche Bank Text" w:cs="Deutsche Bank Text"/>
          <w:sz w:val="20"/>
          <w:szCs w:val="20"/>
        </w:rPr>
        <w:t xml:space="preserve"> </w:t>
      </w:r>
      <w:r w:rsidRPr="0053531E">
        <w:rPr>
          <w:rFonts w:ascii="Deutsche Bank Text" w:hAnsi="Deutsche Bank Text" w:cs="Deutsche Bank Text"/>
          <w:sz w:val="20"/>
          <w:szCs w:val="20"/>
        </w:rPr>
        <w:t>the daily mark may not necessarily be the value of the SBS that is marked on the books of DBAG</w:t>
      </w:r>
      <w:r w:rsidR="00E97D5F" w:rsidRPr="0053531E">
        <w:rPr>
          <w:rFonts w:ascii="Deutsche Bank Text" w:hAnsi="Deutsche Bank Text" w:cs="Deutsche Bank Text"/>
          <w:sz w:val="20"/>
          <w:szCs w:val="20"/>
        </w:rPr>
        <w:t>.</w:t>
      </w:r>
    </w:p>
    <w:p w14:paraId="020DAD40" w14:textId="77777777" w:rsidR="005651FF" w:rsidRPr="0053531E" w:rsidRDefault="005651FF" w:rsidP="00E710B3">
      <w:pPr>
        <w:jc w:val="both"/>
        <w:rPr>
          <w:rFonts w:ascii="Deutsche Bank Text" w:hAnsi="Deutsche Bank Text" w:cs="Deutsche Bank Text"/>
        </w:rPr>
      </w:pPr>
    </w:p>
    <w:p w14:paraId="5B54FABD" w14:textId="77777777" w:rsidR="000D0E7E" w:rsidRPr="0053531E" w:rsidRDefault="00E710B3" w:rsidP="00E710B3">
      <w:pPr>
        <w:pStyle w:val="ListParagraph"/>
        <w:numPr>
          <w:ilvl w:val="0"/>
          <w:numId w:val="9"/>
        </w:numPr>
        <w:jc w:val="both"/>
        <w:rPr>
          <w:rFonts w:ascii="Deutsche Bank Text" w:hAnsi="Deutsche Bank Text" w:cs="Deutsche Bank Text"/>
          <w:sz w:val="20"/>
          <w:szCs w:val="20"/>
          <w:u w:val="single"/>
        </w:rPr>
      </w:pPr>
      <w:r w:rsidRPr="0053531E">
        <w:rPr>
          <w:rFonts w:ascii="Deutsche Bank Text" w:hAnsi="Deutsche Bank Text" w:cs="Deutsche Bank Text"/>
          <w:sz w:val="20"/>
          <w:szCs w:val="20"/>
          <w:u w:val="single"/>
        </w:rPr>
        <w:t xml:space="preserve">Clearing </w:t>
      </w:r>
    </w:p>
    <w:p w14:paraId="1187BC67" w14:textId="2347949E" w:rsidR="000D0E7E" w:rsidRPr="0053531E" w:rsidRDefault="000D0E7E" w:rsidP="000D0E7E">
      <w:pPr>
        <w:pStyle w:val="ListParagraph"/>
        <w:ind w:left="1440"/>
        <w:jc w:val="both"/>
        <w:rPr>
          <w:rFonts w:ascii="Deutsche Bank Text" w:hAnsi="Deutsche Bank Text" w:cs="Deutsche Bank Text"/>
          <w:sz w:val="20"/>
          <w:szCs w:val="20"/>
        </w:rPr>
      </w:pPr>
    </w:p>
    <w:p w14:paraId="6B428FE2" w14:textId="3D07737E" w:rsidR="000D0E7E" w:rsidRPr="0053531E" w:rsidRDefault="00E710B3" w:rsidP="0025541E">
      <w:pPr>
        <w:pStyle w:val="ListParagraph"/>
        <w:numPr>
          <w:ilvl w:val="1"/>
          <w:numId w:val="9"/>
        </w:numPr>
        <w:ind w:left="1418"/>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If Counterparty is not a Regulated Swap Entity, with respect to any Swap/SBS entered into between Counterparty and DBAG under the Agreement that is subject to the mandatory clearing requirements under Section 2(h) of the Commodity Exchange Act (with respect to Swaps) or Section 3Ca-1 of the </w:t>
      </w:r>
      <w:r w:rsidR="00B96446" w:rsidRPr="0053531E">
        <w:rPr>
          <w:rFonts w:ascii="Deutsche Bank Text" w:hAnsi="Deutsche Bank Text" w:cs="Deutsche Bank Text"/>
          <w:sz w:val="20"/>
          <w:szCs w:val="20"/>
          <w:lang w:val="en-GB"/>
        </w:rPr>
        <w:t>Securities Exchange Act of 1934 (“</w:t>
      </w:r>
      <w:r w:rsidRPr="0053531E">
        <w:rPr>
          <w:rFonts w:ascii="Deutsche Bank Text" w:hAnsi="Deutsche Bank Text" w:cs="Deutsche Bank Text"/>
          <w:sz w:val="20"/>
          <w:szCs w:val="20"/>
        </w:rPr>
        <w:t>SEA</w:t>
      </w:r>
      <w:r w:rsidR="00B96446" w:rsidRPr="0053531E">
        <w:rPr>
          <w:rFonts w:ascii="Deutsche Bank Text" w:hAnsi="Deutsche Bank Text" w:cs="Deutsche Bank Text"/>
          <w:sz w:val="20"/>
          <w:szCs w:val="20"/>
        </w:rPr>
        <w:t>”)</w:t>
      </w:r>
      <w:r w:rsidRPr="0053531E">
        <w:rPr>
          <w:rFonts w:ascii="Deutsche Bank Text" w:hAnsi="Deutsche Bank Text" w:cs="Deutsche Bank Text"/>
          <w:sz w:val="20"/>
          <w:szCs w:val="20"/>
        </w:rPr>
        <w:t xml:space="preserve"> (with respect to SBS), Counterparty has the sole right to select (a) with respect to Swaps, the DCO at which the Swap will be cleared and (b) with respect to SBS, the clearing agencies through which DBAG is authorized or permitted (directly</w:t>
      </w:r>
      <w:r w:rsidR="000D0E7E" w:rsidRPr="0053531E">
        <w:rPr>
          <w:rFonts w:ascii="Deutsche Bank Text" w:hAnsi="Deutsche Bank Text" w:cs="Deutsche Bank Text"/>
          <w:sz w:val="20"/>
          <w:szCs w:val="20"/>
        </w:rPr>
        <w:t xml:space="preserve"> </w:t>
      </w:r>
      <w:r w:rsidRPr="0053531E">
        <w:rPr>
          <w:rFonts w:ascii="Deutsche Bank Text" w:hAnsi="Deutsche Bank Text" w:cs="Deutsche Bank Text"/>
          <w:sz w:val="20"/>
          <w:szCs w:val="20"/>
        </w:rPr>
        <w:t>or through a designated clearing member) to clear the SBS. Upon acceptance of a Swap by a DCO: (a) the original Swap between DBAG and Counterparty is extinguished; (b) the original Swap between DBAG and Counterparty is replaced by an equal and opposite Swap with the DCO; and (c) all terms of the Swap shall conform to the product specifications of the cleared Swap established under the DCO’s rules.</w:t>
      </w:r>
    </w:p>
    <w:p w14:paraId="1FDDBA64" w14:textId="77777777" w:rsidR="00DC5835" w:rsidRPr="0053531E" w:rsidRDefault="00DC5835" w:rsidP="0030656C">
      <w:pPr>
        <w:pStyle w:val="ListParagraph"/>
        <w:ind w:left="1418"/>
        <w:jc w:val="both"/>
        <w:rPr>
          <w:rFonts w:ascii="Deutsche Bank Text" w:hAnsi="Deutsche Bank Text" w:cs="Deutsche Bank Text"/>
          <w:sz w:val="20"/>
          <w:szCs w:val="20"/>
        </w:rPr>
      </w:pPr>
    </w:p>
    <w:p w14:paraId="31D4208A" w14:textId="62D74389" w:rsidR="00E710B3" w:rsidRPr="0053531E" w:rsidRDefault="00E710B3" w:rsidP="00520D4C">
      <w:pPr>
        <w:pStyle w:val="ListParagraph"/>
        <w:numPr>
          <w:ilvl w:val="1"/>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If Counterparty is not a Regulated Swap Entity, with respect to (a) any Swap entered into</w:t>
      </w:r>
      <w:r w:rsidR="006B4785" w:rsidRPr="0053531E">
        <w:rPr>
          <w:rFonts w:ascii="Deutsche Bank Text" w:hAnsi="Deutsche Bank Text" w:cs="Deutsche Bank Text"/>
          <w:sz w:val="20"/>
          <w:szCs w:val="20"/>
        </w:rPr>
        <w:t xml:space="preserve"> </w:t>
      </w:r>
      <w:r w:rsidRPr="0053531E">
        <w:rPr>
          <w:rFonts w:ascii="Deutsche Bank Text" w:hAnsi="Deutsche Bank Text" w:cs="Deutsche Bank Text"/>
          <w:sz w:val="20"/>
          <w:szCs w:val="20"/>
        </w:rPr>
        <w:t>between Counterparty and DBAG under the Agreement that is not subject to the mandatory clearing requirements under Section 2(h) of the Commodity Exchange Act, Counterparty may elect to clear such Swap and has the sole right to select the DCO at which the Swap will be cleared and (b) any SBS entered into between Counterparty and DBAG under the Agreement that is not subject to the mandatory clearing requirements under Section 3Ca-1 of the SEA, Counterparty may elect to clear such SBS and has the sole right to select the clearing agency at which the SBS will be cleared, provided it is a clearing agency at which DBAG is authorized or permitted (directly or through a designated clearing member) to clear the SBS. Upon acceptance of a Swap SBS by a Clearing Agency: (a) the original SBS between DBAG and Counterparty is extinguished; (b) the original SBS between DBAG and Counterparty is replaced by an equal and opposite SBS with the Clearing Agency; and (c) all terms of the SBS shall conform to the product specifications of the cleared SBS established under the Clearing Agency’s rules.</w:t>
      </w:r>
    </w:p>
    <w:p w14:paraId="51023977" w14:textId="77777777" w:rsidR="00443FDE" w:rsidRPr="0053531E" w:rsidRDefault="00443FDE" w:rsidP="00443FDE">
      <w:pPr>
        <w:pStyle w:val="ListParagraph"/>
        <w:ind w:left="1440"/>
        <w:jc w:val="both"/>
        <w:rPr>
          <w:rFonts w:ascii="Deutsche Bank Text" w:hAnsi="Deutsche Bank Text" w:cs="Deutsche Bank Text"/>
          <w:sz w:val="20"/>
          <w:szCs w:val="20"/>
        </w:rPr>
      </w:pPr>
    </w:p>
    <w:p w14:paraId="5434EA71" w14:textId="3E2D74C9" w:rsidR="00E710B3" w:rsidRPr="0053531E" w:rsidRDefault="00E710B3" w:rsidP="008F1E9E">
      <w:pPr>
        <w:pStyle w:val="ListParagraph"/>
        <w:numPr>
          <w:ilvl w:val="1"/>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Please find below a list of the clearing agencies that accept SBS for clearing, and at which DBAG is authorized or permitted (directly or through a designated clearing member) to clear SBS:</w:t>
      </w:r>
    </w:p>
    <w:p w14:paraId="4416B650" w14:textId="6698A123" w:rsidR="006B4785" w:rsidRPr="0053531E" w:rsidRDefault="006B4785" w:rsidP="00934242">
      <w:pPr>
        <w:pStyle w:val="ListParagraph"/>
        <w:ind w:left="2160"/>
        <w:jc w:val="both"/>
        <w:rPr>
          <w:rFonts w:ascii="Deutsche Bank Text" w:hAnsi="Deutsche Bank Text" w:cs="Deutsche Bank Text"/>
          <w:sz w:val="20"/>
          <w:szCs w:val="20"/>
        </w:rPr>
      </w:pPr>
    </w:p>
    <w:p w14:paraId="0D12E395" w14:textId="5775B9EF" w:rsidR="00E710B3" w:rsidRPr="0053531E" w:rsidRDefault="00E710B3" w:rsidP="00E710B3">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ICE Clear Credit LLC</w:t>
      </w:r>
      <w:r w:rsidR="00194093" w:rsidRPr="0053531E">
        <w:rPr>
          <w:rFonts w:ascii="Deutsche Bank Text" w:hAnsi="Deutsche Bank Text" w:cs="Deutsche Bank Text"/>
          <w:sz w:val="20"/>
          <w:szCs w:val="20"/>
        </w:rPr>
        <w:t>;</w:t>
      </w:r>
    </w:p>
    <w:p w14:paraId="28B183ED" w14:textId="788BA850" w:rsidR="00E710B3" w:rsidRPr="0053531E" w:rsidRDefault="00E710B3" w:rsidP="00E710B3">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ICE Clear Europe Limited</w:t>
      </w:r>
      <w:r w:rsidR="00194093" w:rsidRPr="0053531E">
        <w:rPr>
          <w:rFonts w:ascii="Deutsche Bank Text" w:hAnsi="Deutsche Bank Text" w:cs="Deutsche Bank Text"/>
          <w:sz w:val="20"/>
          <w:szCs w:val="20"/>
        </w:rPr>
        <w:t>;</w:t>
      </w:r>
    </w:p>
    <w:p w14:paraId="42357CA1" w14:textId="4D2D72A7" w:rsidR="00934242" w:rsidRPr="0053531E" w:rsidRDefault="00E710B3" w:rsidP="00E710B3">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Japan Securities Clearing Corporation</w:t>
      </w:r>
      <w:r w:rsidR="00194093" w:rsidRPr="0053531E">
        <w:rPr>
          <w:rFonts w:ascii="Deutsche Bank Text" w:hAnsi="Deutsche Bank Text" w:cs="Deutsche Bank Text"/>
          <w:sz w:val="20"/>
          <w:szCs w:val="20"/>
        </w:rPr>
        <w:t>;</w:t>
      </w:r>
    </w:p>
    <w:p w14:paraId="65D5C1CF" w14:textId="009ACBBC" w:rsidR="00E710B3" w:rsidRPr="0053531E" w:rsidRDefault="00E710B3" w:rsidP="00E710B3">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LCH Clearnet SA</w:t>
      </w:r>
      <w:r w:rsidR="00194093" w:rsidRPr="0053531E">
        <w:rPr>
          <w:rFonts w:ascii="Deutsche Bank Text" w:hAnsi="Deutsche Bank Text" w:cs="Deutsche Bank Text"/>
          <w:sz w:val="20"/>
          <w:szCs w:val="20"/>
        </w:rPr>
        <w:t>; and</w:t>
      </w:r>
    </w:p>
    <w:p w14:paraId="7217F4DE" w14:textId="1E51B3A4" w:rsidR="00194093" w:rsidRPr="0053531E" w:rsidRDefault="00194093" w:rsidP="00E710B3">
      <w:pPr>
        <w:pStyle w:val="ListParagraph"/>
        <w:numPr>
          <w:ilvl w:val="2"/>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LCH Limited.</w:t>
      </w:r>
    </w:p>
    <w:p w14:paraId="690D30E1" w14:textId="77777777" w:rsidR="00934242" w:rsidRPr="0053531E" w:rsidRDefault="00934242" w:rsidP="00934242">
      <w:pPr>
        <w:jc w:val="both"/>
        <w:rPr>
          <w:rFonts w:ascii="Deutsche Bank Text" w:hAnsi="Deutsche Bank Text" w:cs="Deutsche Bank Text"/>
        </w:rPr>
      </w:pPr>
    </w:p>
    <w:p w14:paraId="54790B06" w14:textId="3708E66F" w:rsidR="00E710B3" w:rsidRPr="0053531E" w:rsidRDefault="00E710B3" w:rsidP="00E710B3">
      <w:pPr>
        <w:pStyle w:val="ListParagraph"/>
        <w:numPr>
          <w:ilvl w:val="0"/>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Special Entities </w:t>
      </w:r>
    </w:p>
    <w:p w14:paraId="39FBD4B3" w14:textId="26CA3B5E" w:rsidR="00934242" w:rsidRPr="0053531E" w:rsidRDefault="00934242" w:rsidP="00934242">
      <w:pPr>
        <w:pStyle w:val="ListParagraph"/>
        <w:ind w:left="1440"/>
        <w:jc w:val="both"/>
        <w:rPr>
          <w:rFonts w:ascii="Deutsche Bank Text" w:hAnsi="Deutsche Bank Text" w:cs="Deutsche Bank Text"/>
          <w:sz w:val="20"/>
          <w:szCs w:val="20"/>
        </w:rPr>
      </w:pPr>
    </w:p>
    <w:p w14:paraId="0D40A71E" w14:textId="785C5B65" w:rsidR="00AA599E" w:rsidRPr="0053531E" w:rsidRDefault="00E710B3" w:rsidP="00BE7D80">
      <w:pPr>
        <w:pStyle w:val="ListParagraph"/>
        <w:numPr>
          <w:ilvl w:val="1"/>
          <w:numId w:val="9"/>
        </w:numPr>
        <w:jc w:val="both"/>
        <w:rPr>
          <w:rFonts w:ascii="Deutsche Bank Text" w:hAnsi="Deutsche Bank Text" w:cs="Deutsche Bank Text"/>
          <w:sz w:val="20"/>
          <w:szCs w:val="20"/>
        </w:rPr>
      </w:pPr>
      <w:r w:rsidRPr="0053531E">
        <w:rPr>
          <w:rFonts w:ascii="Deutsche Bank Text" w:hAnsi="Deutsche Bank Text" w:cs="Deutsche Bank Text"/>
          <w:sz w:val="20"/>
          <w:szCs w:val="20"/>
        </w:rPr>
        <w:t xml:space="preserve">If Counterparty is an employee benefit plan defined in Section 3 of ERISA that is not subject to Title I of ERISA, (a) DBAG hereby notifies Counterparty of its right to elect to be treated as a special entity pursuant to CFTC </w:t>
      </w:r>
      <w:r w:rsidR="00CF53E4" w:rsidRPr="0053531E">
        <w:rPr>
          <w:rFonts w:ascii="Deutsche Bank Text" w:hAnsi="Deutsche Bank Text" w:cs="Deutsche Bank Text"/>
          <w:sz w:val="20"/>
          <w:szCs w:val="20"/>
        </w:rPr>
        <w:t xml:space="preserve">Regulation </w:t>
      </w:r>
      <w:r w:rsidRPr="0053531E">
        <w:rPr>
          <w:rFonts w:ascii="Deutsche Bank Text" w:hAnsi="Deutsche Bank Text" w:cs="Deutsche Bank Text"/>
          <w:sz w:val="20"/>
          <w:szCs w:val="20"/>
        </w:rPr>
        <w:t xml:space="preserve">23.430(c) and (b) DBAG hereby notifies Counterparty, pursuant to SEC </w:t>
      </w:r>
      <w:r w:rsidR="00CF53E4" w:rsidRPr="0053531E">
        <w:rPr>
          <w:rFonts w:ascii="Deutsche Bank Text" w:hAnsi="Deutsche Bank Text" w:cs="Deutsche Bank Text"/>
          <w:sz w:val="20"/>
          <w:szCs w:val="20"/>
        </w:rPr>
        <w:t xml:space="preserve">Regulation </w:t>
      </w:r>
      <w:r w:rsidRPr="0053531E">
        <w:rPr>
          <w:rFonts w:ascii="Deutsche Bank Text" w:hAnsi="Deutsche Bank Text" w:cs="Deutsche Bank Text"/>
          <w:sz w:val="20"/>
          <w:szCs w:val="20"/>
        </w:rPr>
        <w:t xml:space="preserve">15Fh-3(a), that </w:t>
      </w:r>
      <w:r w:rsidRPr="0053531E">
        <w:rPr>
          <w:rFonts w:ascii="Deutsche Bank Text" w:hAnsi="Deutsche Bank Text" w:cs="Deutsche Bank Text"/>
          <w:sz w:val="20"/>
          <w:szCs w:val="20"/>
        </w:rPr>
        <w:lastRenderedPageBreak/>
        <w:t xml:space="preserve">Counterparty has the right to elect not to be treated as a special entity for purposes of transacting in SBS pursuant to SEC </w:t>
      </w:r>
      <w:r w:rsidR="00CF53E4" w:rsidRPr="0053531E">
        <w:rPr>
          <w:rFonts w:ascii="Deutsche Bank Text" w:hAnsi="Deutsche Bank Text" w:cs="Deutsche Bank Text"/>
          <w:sz w:val="20"/>
          <w:szCs w:val="20"/>
        </w:rPr>
        <w:t xml:space="preserve">Regulation </w:t>
      </w:r>
      <w:r w:rsidRPr="0053531E">
        <w:rPr>
          <w:rFonts w:ascii="Deutsche Bank Text" w:hAnsi="Deutsche Bank Text" w:cs="Deutsche Bank Text"/>
          <w:sz w:val="20"/>
          <w:szCs w:val="20"/>
        </w:rPr>
        <w:t>15Fh-2(d)(4).</w:t>
      </w:r>
    </w:p>
    <w:sectPr w:rsidR="00AA599E" w:rsidRPr="0053531E" w:rsidSect="00B7796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F4F7" w14:textId="77777777" w:rsidR="00617BBF" w:rsidRDefault="00617BBF">
      <w:r>
        <w:separator/>
      </w:r>
    </w:p>
  </w:endnote>
  <w:endnote w:type="continuationSeparator" w:id="0">
    <w:p w14:paraId="495F4C59" w14:textId="77777777" w:rsidR="00617BBF" w:rsidRDefault="0061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utscheBank">
    <w:altName w:val="Calibri"/>
    <w:panose1 w:val="020B0503020202030204"/>
    <w:charset w:val="00"/>
    <w:family w:val="swiss"/>
    <w:pitch w:val="variable"/>
    <w:sig w:usb0="A00002EF" w:usb1="4000003B" w:usb2="0000002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AE0D" w14:textId="3A1A997D" w:rsidR="001B2009" w:rsidRDefault="001B2009">
    <w:pPr>
      <w:pStyle w:val="Footer"/>
    </w:pPr>
    <w:r>
      <mc:AlternateContent>
        <mc:Choice Requires="wps">
          <w:drawing>
            <wp:anchor distT="0" distB="0" distL="0" distR="0" simplePos="0" relativeHeight="251658241" behindDoc="0" locked="0" layoutInCell="1" allowOverlap="1" wp14:anchorId="297F22D5" wp14:editId="33A3E1E2">
              <wp:simplePos x="635" y="635"/>
              <wp:positionH relativeFrom="page">
                <wp:align>center</wp:align>
              </wp:positionH>
              <wp:positionV relativeFrom="page">
                <wp:align>bottom</wp:align>
              </wp:positionV>
              <wp:extent cx="29210" cy="345440"/>
              <wp:effectExtent l="0" t="0" r="8890" b="0"/>
              <wp:wrapNone/>
              <wp:docPr id="2107970119" name="Text Box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345440"/>
                      </a:xfrm>
                      <a:prstGeom prst="rect">
                        <a:avLst/>
                      </a:prstGeom>
                      <a:noFill/>
                      <a:ln>
                        <a:noFill/>
                      </a:ln>
                    </wps:spPr>
                    <wps:txbx>
                      <w:txbxContent>
                        <w:p w14:paraId="0AE80AC8" w14:textId="02F2437F" w:rsidR="001B2009" w:rsidRPr="001B2009" w:rsidRDefault="001B2009" w:rsidP="001B2009">
                          <w:pPr>
                            <w:rPr>
                              <w:rFonts w:ascii="Calibri" w:eastAsia="Calibri" w:hAnsi="Calibri" w:cs="Calibri"/>
                              <w:noProof/>
                              <w:color w:val="000000"/>
                            </w:rPr>
                          </w:pPr>
                          <w:r w:rsidRPr="001B2009">
                            <w:rPr>
                              <w:rFonts w:ascii="Calibri" w:eastAsia="Calibri" w:hAnsi="Calibri" w:cs="Calibri"/>
                              <w:noProof/>
                              <w:color w:val="00000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F22D5" id="_x0000_t202" coordsize="21600,21600" o:spt="202" path="m,l,21600r21600,l21600,xe">
              <v:stroke joinstyle="miter"/>
              <v:path gradientshapeok="t" o:connecttype="rect"/>
            </v:shapetype>
            <v:shape id="Text Box 2" o:spid="_x0000_s1026" type="#_x0000_t202" alt=" " style="position:absolute;margin-left:0;margin-top:0;width:2.3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" filled="f" stroked="f">
              <v:textbox style="mso-fit-shape-to-text:t" inset="0,0,0,15pt">
                <w:txbxContent>
                  <w:p w14:paraId="0AE80AC8" w14:textId="02F2437F" w:rsidR="001B2009" w:rsidRPr="001B2009" w:rsidRDefault="001B2009" w:rsidP="001B2009">
                    <w:pPr>
                      <w:rPr>
                        <w:rFonts w:ascii="Calibri" w:eastAsia="Calibri" w:hAnsi="Calibri" w:cs="Calibri"/>
                        <w:noProof/>
                        <w:color w:val="000000"/>
                      </w:rPr>
                    </w:pPr>
                    <w:r w:rsidRPr="001B2009">
                      <w:rPr>
                        <w:rFonts w:ascii="Calibri" w:eastAsia="Calibri" w:hAnsi="Calibri" w:cs="Calibri"/>
                        <w:noProof/>
                        <w:color w:val="00000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eutsche Bank Text" w:hAnsi="Deutsche Bank Text" w:cs="Deutsche Bank Text"/>
        <w:noProof w:val="0"/>
      </w:rPr>
      <w:id w:val="-1127771239"/>
      <w:docPartObj>
        <w:docPartGallery w:val="Page Numbers (Bottom of Page)"/>
        <w:docPartUnique/>
      </w:docPartObj>
    </w:sdtPr>
    <w:sdtEndPr>
      <w:rPr>
        <w:noProof/>
      </w:rPr>
    </w:sdtEndPr>
    <w:sdtContent>
      <w:p w14:paraId="7CDC5A1F" w14:textId="397F2968" w:rsidR="001678A5" w:rsidRPr="008E754A" w:rsidRDefault="001678A5">
        <w:pPr>
          <w:pStyle w:val="Footer"/>
          <w:jc w:val="center"/>
          <w:rPr>
            <w:rFonts w:ascii="Deutsche Bank Text" w:hAnsi="Deutsche Bank Text" w:cs="Deutsche Bank Text"/>
          </w:rPr>
        </w:pPr>
        <w:r w:rsidRPr="008E754A">
          <w:rPr>
            <w:rFonts w:ascii="Deutsche Bank Text" w:hAnsi="Deutsche Bank Text" w:cs="Deutsche Bank Text"/>
            <w:noProof w:val="0"/>
          </w:rPr>
          <w:fldChar w:fldCharType="begin"/>
        </w:r>
        <w:r w:rsidRPr="008E754A">
          <w:rPr>
            <w:rFonts w:ascii="Deutsche Bank Text" w:hAnsi="Deutsche Bank Text" w:cs="Deutsche Bank Text"/>
          </w:rPr>
          <w:instrText xml:space="preserve"> PAGE   \* MERGEFORMAT </w:instrText>
        </w:r>
        <w:r w:rsidRPr="008E754A">
          <w:rPr>
            <w:rFonts w:ascii="Deutsche Bank Text" w:hAnsi="Deutsche Bank Text" w:cs="Deutsche Bank Text"/>
            <w:noProof w:val="0"/>
          </w:rPr>
          <w:fldChar w:fldCharType="separate"/>
        </w:r>
        <w:r w:rsidRPr="008E754A">
          <w:rPr>
            <w:rFonts w:ascii="Deutsche Bank Text" w:hAnsi="Deutsche Bank Text" w:cs="Deutsche Bank Text"/>
          </w:rPr>
          <w:t>2</w:t>
        </w:r>
        <w:r w:rsidRPr="008E754A">
          <w:rPr>
            <w:rFonts w:ascii="Deutsche Bank Text" w:hAnsi="Deutsche Bank Text" w:cs="Deutsche Bank Text"/>
          </w:rPr>
          <w:fldChar w:fldCharType="end"/>
        </w:r>
      </w:p>
    </w:sdtContent>
  </w:sdt>
  <w:p w14:paraId="304C5B0F" w14:textId="77777777" w:rsidR="005F31A3" w:rsidRDefault="005F31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88639706"/>
      <w:docPartObj>
        <w:docPartGallery w:val="Page Numbers (Bottom of Page)"/>
        <w:docPartUnique/>
      </w:docPartObj>
    </w:sdtPr>
    <w:sdtEndPr>
      <w:rPr>
        <w:noProof/>
      </w:rPr>
    </w:sdtEndPr>
    <w:sdtContent>
      <w:p w14:paraId="46FFA427" w14:textId="3D52F37B" w:rsidR="00DF5C5A" w:rsidRDefault="00DF5C5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5C741ED" w14:textId="77777777" w:rsidR="00A33D49" w:rsidRDefault="00A3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34FA" w14:textId="77777777" w:rsidR="00617BBF" w:rsidRDefault="00617BBF">
      <w:r>
        <w:separator/>
      </w:r>
    </w:p>
  </w:footnote>
  <w:footnote w:type="continuationSeparator" w:id="0">
    <w:p w14:paraId="3F5E6B78" w14:textId="77777777" w:rsidR="00617BBF" w:rsidRDefault="00617BBF">
      <w:r>
        <w:continuationSeparator/>
      </w:r>
    </w:p>
  </w:footnote>
  <w:footnote w:id="1">
    <w:p w14:paraId="10607A38" w14:textId="597DA96B" w:rsidR="006261B6" w:rsidRPr="0030656C" w:rsidRDefault="006261B6">
      <w:pPr>
        <w:pStyle w:val="FootnoteText"/>
        <w:rPr>
          <w:rFonts w:asciiTheme="minorHAnsi" w:hAnsiTheme="minorHAnsi"/>
          <w:sz w:val="16"/>
          <w:szCs w:val="16"/>
        </w:rPr>
      </w:pPr>
      <w:r w:rsidRPr="0030656C">
        <w:rPr>
          <w:rStyle w:val="FootnoteReference"/>
          <w:rFonts w:asciiTheme="minorHAnsi" w:hAnsiTheme="minorHAnsi"/>
          <w:sz w:val="16"/>
          <w:szCs w:val="16"/>
        </w:rPr>
        <w:footnoteRef/>
      </w:r>
      <w:r w:rsidRPr="0030656C">
        <w:rPr>
          <w:rFonts w:asciiTheme="minorHAnsi" w:hAnsiTheme="minorHAnsi"/>
          <w:sz w:val="16"/>
          <w:szCs w:val="16"/>
        </w:rPr>
        <w:t xml:space="preserve"> </w:t>
      </w:r>
      <w:hyperlink r:id="rId1" w:history="1">
        <w:r w:rsidRPr="0030656C">
          <w:rPr>
            <w:rStyle w:val="Hyperlink"/>
            <w:rFonts w:asciiTheme="minorHAnsi" w:hAnsiTheme="minorHAnsi"/>
            <w:sz w:val="16"/>
            <w:szCs w:val="16"/>
          </w:rPr>
          <w:t>https://www.isda.org/protocol/isda-august-2012-df-protocol/</w:t>
        </w:r>
      </w:hyperlink>
      <w:r w:rsidRPr="0030656C">
        <w:rPr>
          <w:rFonts w:asciiTheme="minorHAnsi" w:hAnsiTheme="minorHAnsi"/>
          <w:sz w:val="16"/>
          <w:szCs w:val="16"/>
        </w:rPr>
        <w:t xml:space="preserve"> </w:t>
      </w:r>
    </w:p>
  </w:footnote>
  <w:footnote w:id="2">
    <w:p w14:paraId="2AE403BF" w14:textId="0DD7D5BE" w:rsidR="00EC610A" w:rsidRPr="0030656C" w:rsidRDefault="00EC610A">
      <w:pPr>
        <w:pStyle w:val="FootnoteText"/>
        <w:rPr>
          <w:rFonts w:asciiTheme="minorHAnsi" w:hAnsiTheme="minorHAnsi"/>
          <w:sz w:val="16"/>
          <w:szCs w:val="16"/>
        </w:rPr>
      </w:pPr>
      <w:r w:rsidRPr="0030656C">
        <w:rPr>
          <w:rStyle w:val="FootnoteReference"/>
          <w:rFonts w:asciiTheme="minorHAnsi" w:hAnsiTheme="minorHAnsi"/>
          <w:sz w:val="16"/>
          <w:szCs w:val="16"/>
        </w:rPr>
        <w:footnoteRef/>
      </w:r>
      <w:r w:rsidRPr="0030656C">
        <w:rPr>
          <w:rFonts w:asciiTheme="minorHAnsi" w:hAnsiTheme="minorHAnsi"/>
          <w:sz w:val="16"/>
          <w:szCs w:val="16"/>
        </w:rPr>
        <w:t xml:space="preserve"> </w:t>
      </w:r>
      <w:hyperlink r:id="rId2" w:history="1">
        <w:r w:rsidRPr="0030656C">
          <w:rPr>
            <w:rStyle w:val="Hyperlink"/>
            <w:rFonts w:asciiTheme="minorHAnsi" w:hAnsiTheme="minorHAnsi"/>
            <w:sz w:val="16"/>
            <w:szCs w:val="16"/>
          </w:rPr>
          <w:t>https://www.isda.org/a/NzGTE/SBS-Protocol-Supplement-I.pdf</w:t>
        </w:r>
      </w:hyperlink>
      <w:r w:rsidRPr="0030656C">
        <w:rPr>
          <w:rFonts w:asciiTheme="minorHAnsi" w:hAnsiTheme="minorHAnsi"/>
          <w:sz w:val="16"/>
          <w:szCs w:val="16"/>
        </w:rPr>
        <w:t xml:space="preserve"> </w:t>
      </w:r>
    </w:p>
  </w:footnote>
  <w:footnote w:id="3">
    <w:p w14:paraId="73CC257A" w14:textId="227396A1" w:rsidR="007F649C" w:rsidRPr="0030656C" w:rsidRDefault="007F649C" w:rsidP="0030656C">
      <w:pPr>
        <w:pStyle w:val="FootnoteText"/>
        <w:jc w:val="both"/>
        <w:rPr>
          <w:lang w:val="en-US"/>
        </w:rPr>
      </w:pPr>
      <w:r w:rsidRPr="0030656C">
        <w:rPr>
          <w:rStyle w:val="FootnoteReference"/>
          <w:rFonts w:asciiTheme="minorHAnsi" w:hAnsiTheme="minorHAnsi"/>
          <w:sz w:val="16"/>
          <w:szCs w:val="16"/>
        </w:rPr>
        <w:footnoteRef/>
      </w:r>
      <w:r w:rsidRPr="0030656C">
        <w:rPr>
          <w:rFonts w:asciiTheme="minorHAnsi" w:hAnsiTheme="minorHAnsi"/>
          <w:sz w:val="16"/>
          <w:szCs w:val="16"/>
        </w:rPr>
        <w:t xml:space="preserve"> </w:t>
      </w:r>
      <w:r w:rsidR="007C2589" w:rsidRPr="0030656C">
        <w:rPr>
          <w:rFonts w:asciiTheme="minorHAnsi" w:hAnsiTheme="minorHAnsi"/>
          <w:sz w:val="16"/>
          <w:szCs w:val="16"/>
        </w:rPr>
        <w:t>“</w:t>
      </w:r>
      <w:r w:rsidR="003A1CA5" w:rsidRPr="0030656C">
        <w:rPr>
          <w:rFonts w:asciiTheme="minorHAnsi" w:hAnsiTheme="minorHAnsi"/>
          <w:sz w:val="16"/>
          <w:szCs w:val="16"/>
        </w:rPr>
        <w:t>Regulated Swap Entity” means a</w:t>
      </w:r>
      <w:r w:rsidR="00235240" w:rsidRPr="0030656C">
        <w:rPr>
          <w:rFonts w:asciiTheme="minorHAnsi" w:hAnsiTheme="minorHAnsi"/>
          <w:sz w:val="16"/>
          <w:szCs w:val="16"/>
        </w:rPr>
        <w:t>n SD, SBSD,</w:t>
      </w:r>
      <w:r w:rsidR="003A1CA5" w:rsidRPr="0030656C">
        <w:rPr>
          <w:rFonts w:asciiTheme="minorHAnsi" w:hAnsiTheme="minorHAnsi"/>
          <w:sz w:val="16"/>
          <w:szCs w:val="16"/>
        </w:rPr>
        <w:t xml:space="preserve"> Major Swap Participant or Major Security-Based Swap Participant.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BBC1" w14:textId="77777777" w:rsidR="008E754A" w:rsidRDefault="008E7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020" w14:textId="77777777" w:rsidR="005F31A3" w:rsidRDefault="00751015">
    <w:r>
      <w:rPr>
        <w:noProof/>
      </w:rPr>
      <mc:AlternateContent>
        <mc:Choice Requires="wps">
          <w:drawing>
            <wp:anchor distT="0" distB="0" distL="114300" distR="114300" simplePos="0" relativeHeight="251658240" behindDoc="0" locked="0" layoutInCell="1" allowOverlap="1" wp14:anchorId="7CEF4A8B" wp14:editId="030BA1B9">
              <wp:simplePos x="0" y="0"/>
              <wp:positionH relativeFrom="page">
                <wp:posOffset>6661150</wp:posOffset>
              </wp:positionH>
              <wp:positionV relativeFrom="page">
                <wp:posOffset>360045</wp:posOffset>
              </wp:positionV>
              <wp:extent cx="540000" cy="540000"/>
              <wp:effectExtent l="0" t="0" r="0" b="0"/>
              <wp:wrapNone/>
              <wp:docPr id="46" name="Freeform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0000" cy="540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9177" id="Freeform 68" o:spid="_x0000_s1026" alt="&quot;&quot;" style="position:absolute;margin-left:524.5pt;margin-top:28.35pt;width:42.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" path="m505,505r,2598l3101,3103r,-2598l505,505xm,l3609,r,3609l,3609,,xm795,2745l2166,866r648,l1443,2745r-648,xe" fillcolor="#1e2a78 [3204]" stroked="f">
              <v:path arrowok="t" o:connecttype="custom" o:connectlocs="75561,75561;75561,464289;463990,464289;463990,75561;75561,75561;0,0;540000,0;540000,540000;0,540000;0,0;118953,410723;324090,129576;421047,129576;215910,410723;118953,410723" o:connectangles="0,0,0,0,0,0,0,0,0,0,0,0,0,0,0"/>
              <o:lock v:ext="edit" aspectratio="t" verticies="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57A2" w14:textId="56BDAD9B" w:rsidR="006F256B" w:rsidRPr="009B7ADF" w:rsidRDefault="00617BBF" w:rsidP="006F256B">
    <w:pPr>
      <w:pStyle w:val="Identifier"/>
      <w:rPr>
        <w:b/>
        <w:bCs/>
      </w:rPr>
    </w:pPr>
    <w:sdt>
      <w:sdtPr>
        <w:rPr>
          <w:b/>
          <w:bCs/>
        </w:rPr>
        <w:id w:val="-1955393141"/>
        <w:docPartObj>
          <w:docPartGallery w:val="Watermarks"/>
          <w:docPartUnique/>
        </w:docPartObj>
      </w:sdtPr>
      <w:sdtEndPr/>
      <w:sdtContent>
        <w:r>
          <w:rPr>
            <w:b/>
            <w:bCs/>
          </w:rPr>
          <w:pict w14:anchorId="5838F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256B" w:rsidRPr="009B7ADF">
      <w:rPr>
        <w:b/>
        <w:bCs/>
      </w:rPr>
      <w:t>Deutsche Bank</w:t>
    </w:r>
    <w:r w:rsidR="006F256B" w:rsidRPr="009B7ADF">
      <w:rPr>
        <w:b/>
        <w:bCs/>
      </w:rPr>
      <w:br/>
    </w:r>
    <w:r w:rsidR="006F256B" w:rsidRPr="00BD7419">
      <w:rPr>
        <w:b/>
        <w:bCs/>
      </w:rPr>
      <w:t xml:space="preserve"> </w:t>
    </w:r>
    <w:r w:rsidR="006F256B" w:rsidRPr="00E66775">
      <mc:AlternateContent>
        <mc:Choice Requires="wps">
          <w:drawing>
            <wp:anchor distT="0" distB="0" distL="114300" distR="114300" simplePos="0" relativeHeight="251658243" behindDoc="0" locked="1" layoutInCell="1" allowOverlap="1" wp14:anchorId="6056BF5C" wp14:editId="7AF820A2">
              <wp:simplePos x="0" y="0"/>
              <wp:positionH relativeFrom="page">
                <wp:posOffset>6661150</wp:posOffset>
              </wp:positionH>
              <wp:positionV relativeFrom="page">
                <wp:posOffset>360045</wp:posOffset>
              </wp:positionV>
              <wp:extent cx="540000" cy="540000"/>
              <wp:effectExtent l="0" t="0" r="0" b="0"/>
              <wp:wrapNone/>
              <wp:docPr id="3" name="Freeform 31" descr="Deutsche Bank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0000" cy="540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chemeClr val="accent1"/>
                      </a:solidFill>
                      <a:ln>
                        <a:noFill/>
                      </a:ln>
                    </wps:spPr>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06E0" id="Freeform 31" o:spid="_x0000_s1026" alt="Deutsche Bank Logo" style="position:absolute;margin-left:524.5pt;margin-top:28.35pt;width:42.5pt;height:42.5pt;z-index:251658243;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" path="m505,505r,2598l3101,3103r,-2598l505,505xm,l3609,r,3609l,3609,,xm795,2745l2166,866r648,l1443,2745r-648,xe" fillcolor="#1e2a78 [3204]" stroked="f">
              <v:path arrowok="t" o:connecttype="custom" o:connectlocs="75561,75561;75561,464289;463990,464289;463990,75561;75561,75561;0,0;540000,0;540000,540000;0,540000;0,0;118953,410723;324090,129576;421047,129576;215910,410723;118953,410723" o:connectangles="0,0,0,0,0,0,0,0,0,0,0,0,0,0,0"/>
              <o:lock v:ext="edit" aspectratio="t" verticies="t"/>
              <w10:wrap anchorx="page" anchory="page"/>
              <w10:anchorlock/>
            </v:shape>
          </w:pict>
        </mc:Fallback>
      </mc:AlternateContent>
    </w:r>
    <w:r w:rsidR="006F256B" w:rsidRPr="00E66775">
      <mc:AlternateContent>
        <mc:Choice Requires="wps">
          <w:drawing>
            <wp:anchor distT="0" distB="0" distL="114300" distR="114300" simplePos="0" relativeHeight="251658242" behindDoc="0" locked="1" layoutInCell="0" allowOverlap="1" wp14:anchorId="1C08DC7E" wp14:editId="1AFF8825">
              <wp:simplePos x="0" y="0"/>
              <wp:positionH relativeFrom="page">
                <wp:posOffset>0</wp:posOffset>
              </wp:positionH>
              <wp:positionV relativeFrom="page">
                <wp:posOffset>3776980</wp:posOffset>
              </wp:positionV>
              <wp:extent cx="179705" cy="3810"/>
              <wp:effectExtent l="0" t="0" r="1270" b="63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BC037" id="Rectangle 2" o:spid="_x0000_s1026" alt="&quot;&quot;" style="position:absolute;margin-left:0;margin-top:297.4pt;width:14.15pt;height:.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" o:allowincell="f" fillcolor="black" stroked="f">
              <w10:wrap anchorx="page" anchory="page"/>
              <w10:anchorlock/>
            </v:rect>
          </w:pict>
        </mc:Fallback>
      </mc:AlternateContent>
    </w:r>
  </w:p>
  <w:p w14:paraId="4D31B1D2" w14:textId="5E9FC170" w:rsidR="005F31A3" w:rsidRPr="009B7ADF" w:rsidRDefault="005F31A3" w:rsidP="009B7ADF">
    <w:pPr>
      <w:pStyle w:val="Identifi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2B8421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0ABB2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86F47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796953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18E355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1239D8"/>
    <w:multiLevelType w:val="hybridMultilevel"/>
    <w:tmpl w:val="725A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27814"/>
    <w:multiLevelType w:val="hybridMultilevel"/>
    <w:tmpl w:val="BB3A1D74"/>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1405C27"/>
    <w:multiLevelType w:val="hybridMultilevel"/>
    <w:tmpl w:val="01822B5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614781A"/>
    <w:multiLevelType w:val="hybridMultilevel"/>
    <w:tmpl w:val="C1C68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2028"/>
    <w:multiLevelType w:val="hybridMultilevel"/>
    <w:tmpl w:val="8E48D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572DAE"/>
    <w:multiLevelType w:val="hybridMultilevel"/>
    <w:tmpl w:val="6728EF46"/>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15:restartNumberingAfterBreak="0">
    <w:nsid w:val="3CFD05D6"/>
    <w:multiLevelType w:val="hybridMultilevel"/>
    <w:tmpl w:val="5422F6C8"/>
    <w:lvl w:ilvl="0" w:tplc="2424C44C">
      <w:start w:val="450"/>
      <w:numFmt w:val="bullet"/>
      <w:lvlText w:val="-"/>
      <w:lvlJc w:val="left"/>
      <w:pPr>
        <w:ind w:left="720" w:hanging="360"/>
      </w:pPr>
      <w:rPr>
        <w:rFonts w:ascii="Deutsche Bank Text" w:eastAsia="Times New Roman" w:hAnsi="Deutsche Bank Text" w:cs="Deutsche Bank Tex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16A96"/>
    <w:multiLevelType w:val="hybridMultilevel"/>
    <w:tmpl w:val="9DEA9E74"/>
    <w:lvl w:ilvl="0" w:tplc="0409001B">
      <w:start w:val="1"/>
      <w:numFmt w:val="lowerRoman"/>
      <w:lvlText w:val="%1."/>
      <w:lvlJc w:val="righ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3" w15:restartNumberingAfterBreak="0">
    <w:nsid w:val="717B538F"/>
    <w:multiLevelType w:val="hybridMultilevel"/>
    <w:tmpl w:val="BC209FA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241001F"/>
    <w:multiLevelType w:val="hybridMultilevel"/>
    <w:tmpl w:val="A99C5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57B59"/>
    <w:multiLevelType w:val="hybridMultilevel"/>
    <w:tmpl w:val="D3E80C00"/>
    <w:lvl w:ilvl="0" w:tplc="37F8A3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054309">
    <w:abstractNumId w:val="4"/>
  </w:num>
  <w:num w:numId="2" w16cid:durableId="2139950905">
    <w:abstractNumId w:val="3"/>
  </w:num>
  <w:num w:numId="3" w16cid:durableId="538321865">
    <w:abstractNumId w:val="2"/>
  </w:num>
  <w:num w:numId="4" w16cid:durableId="1704210526">
    <w:abstractNumId w:val="1"/>
  </w:num>
  <w:num w:numId="5" w16cid:durableId="1230506671">
    <w:abstractNumId w:val="0"/>
  </w:num>
  <w:num w:numId="6" w16cid:durableId="1850944527">
    <w:abstractNumId w:val="15"/>
  </w:num>
  <w:num w:numId="7" w16cid:durableId="802117524">
    <w:abstractNumId w:val="11"/>
  </w:num>
  <w:num w:numId="8" w16cid:durableId="470904553">
    <w:abstractNumId w:val="7"/>
  </w:num>
  <w:num w:numId="9" w16cid:durableId="175004857">
    <w:abstractNumId w:val="5"/>
  </w:num>
  <w:num w:numId="10" w16cid:durableId="1401060338">
    <w:abstractNumId w:val="10"/>
  </w:num>
  <w:num w:numId="11" w16cid:durableId="2119325785">
    <w:abstractNumId w:val="8"/>
  </w:num>
  <w:num w:numId="12" w16cid:durableId="348722519">
    <w:abstractNumId w:val="14"/>
  </w:num>
  <w:num w:numId="13" w16cid:durableId="911281927">
    <w:abstractNumId w:val="9"/>
  </w:num>
  <w:num w:numId="14" w16cid:durableId="1471098569">
    <w:abstractNumId w:val="6"/>
  </w:num>
  <w:num w:numId="15" w16cid:durableId="926422155">
    <w:abstractNumId w:val="12"/>
  </w:num>
  <w:num w:numId="16" w16cid:durableId="1029645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78"/>
  <w:displayHorizontalDrawingGridEvery w:val="2"/>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F6"/>
    <w:rsid w:val="00004644"/>
    <w:rsid w:val="0001709D"/>
    <w:rsid w:val="00025704"/>
    <w:rsid w:val="00026DC6"/>
    <w:rsid w:val="00043658"/>
    <w:rsid w:val="000462CC"/>
    <w:rsid w:val="00052A00"/>
    <w:rsid w:val="000551CC"/>
    <w:rsid w:val="000634C0"/>
    <w:rsid w:val="00065682"/>
    <w:rsid w:val="00065BDF"/>
    <w:rsid w:val="00065FCD"/>
    <w:rsid w:val="000665B2"/>
    <w:rsid w:val="000756C1"/>
    <w:rsid w:val="00077B3B"/>
    <w:rsid w:val="0009190F"/>
    <w:rsid w:val="000919D4"/>
    <w:rsid w:val="000A4266"/>
    <w:rsid w:val="000B2A57"/>
    <w:rsid w:val="000C195B"/>
    <w:rsid w:val="000C7323"/>
    <w:rsid w:val="000D0E7E"/>
    <w:rsid w:val="000D3C95"/>
    <w:rsid w:val="000D5063"/>
    <w:rsid w:val="000D7EF2"/>
    <w:rsid w:val="00105373"/>
    <w:rsid w:val="0011130C"/>
    <w:rsid w:val="001119F6"/>
    <w:rsid w:val="00126A94"/>
    <w:rsid w:val="00127316"/>
    <w:rsid w:val="00132729"/>
    <w:rsid w:val="00142B57"/>
    <w:rsid w:val="001643FC"/>
    <w:rsid w:val="001678A5"/>
    <w:rsid w:val="00182E18"/>
    <w:rsid w:val="00194093"/>
    <w:rsid w:val="00196397"/>
    <w:rsid w:val="00196E4C"/>
    <w:rsid w:val="00197817"/>
    <w:rsid w:val="001A18E3"/>
    <w:rsid w:val="001A4317"/>
    <w:rsid w:val="001B2009"/>
    <w:rsid w:val="001C07D0"/>
    <w:rsid w:val="001C43E7"/>
    <w:rsid w:val="001C7E97"/>
    <w:rsid w:val="001D58A7"/>
    <w:rsid w:val="001D7EFB"/>
    <w:rsid w:val="002005EB"/>
    <w:rsid w:val="00201BCE"/>
    <w:rsid w:val="002050B0"/>
    <w:rsid w:val="00205262"/>
    <w:rsid w:val="00215BFA"/>
    <w:rsid w:val="00217F01"/>
    <w:rsid w:val="002319F5"/>
    <w:rsid w:val="00235240"/>
    <w:rsid w:val="00236C17"/>
    <w:rsid w:val="0024770A"/>
    <w:rsid w:val="00251041"/>
    <w:rsid w:val="002527E3"/>
    <w:rsid w:val="00253532"/>
    <w:rsid w:val="00256C71"/>
    <w:rsid w:val="00265EDA"/>
    <w:rsid w:val="00267867"/>
    <w:rsid w:val="002713A8"/>
    <w:rsid w:val="00273B10"/>
    <w:rsid w:val="002754BD"/>
    <w:rsid w:val="00277F44"/>
    <w:rsid w:val="002915DB"/>
    <w:rsid w:val="00291DA1"/>
    <w:rsid w:val="0029323D"/>
    <w:rsid w:val="0029502E"/>
    <w:rsid w:val="002A3B23"/>
    <w:rsid w:val="002A40C8"/>
    <w:rsid w:val="002A573A"/>
    <w:rsid w:val="002C0559"/>
    <w:rsid w:val="002D2EA8"/>
    <w:rsid w:val="002D4E22"/>
    <w:rsid w:val="002D6101"/>
    <w:rsid w:val="002E42D3"/>
    <w:rsid w:val="002F3A40"/>
    <w:rsid w:val="002F523E"/>
    <w:rsid w:val="002F5771"/>
    <w:rsid w:val="002F764E"/>
    <w:rsid w:val="00301CFB"/>
    <w:rsid w:val="0030656C"/>
    <w:rsid w:val="00315413"/>
    <w:rsid w:val="003201C1"/>
    <w:rsid w:val="003213C7"/>
    <w:rsid w:val="0032175D"/>
    <w:rsid w:val="00325113"/>
    <w:rsid w:val="003465AE"/>
    <w:rsid w:val="00350EAC"/>
    <w:rsid w:val="00354599"/>
    <w:rsid w:val="00363835"/>
    <w:rsid w:val="003648E2"/>
    <w:rsid w:val="00367338"/>
    <w:rsid w:val="00370C8C"/>
    <w:rsid w:val="00382572"/>
    <w:rsid w:val="0039505A"/>
    <w:rsid w:val="003951E6"/>
    <w:rsid w:val="00396158"/>
    <w:rsid w:val="003978A7"/>
    <w:rsid w:val="00397CD9"/>
    <w:rsid w:val="003A1CA5"/>
    <w:rsid w:val="003A5F72"/>
    <w:rsid w:val="003B484D"/>
    <w:rsid w:val="003C09D3"/>
    <w:rsid w:val="003C7D4F"/>
    <w:rsid w:val="003D1B5A"/>
    <w:rsid w:val="003D2569"/>
    <w:rsid w:val="003E3208"/>
    <w:rsid w:val="003E657D"/>
    <w:rsid w:val="003F0249"/>
    <w:rsid w:val="0041453A"/>
    <w:rsid w:val="00416CF8"/>
    <w:rsid w:val="00427785"/>
    <w:rsid w:val="004336E1"/>
    <w:rsid w:val="004354F8"/>
    <w:rsid w:val="00443FDE"/>
    <w:rsid w:val="00455AD4"/>
    <w:rsid w:val="0045793F"/>
    <w:rsid w:val="0047063C"/>
    <w:rsid w:val="00471FB7"/>
    <w:rsid w:val="004A0D65"/>
    <w:rsid w:val="004B378E"/>
    <w:rsid w:val="004B5F9B"/>
    <w:rsid w:val="004C0BDC"/>
    <w:rsid w:val="004C23CB"/>
    <w:rsid w:val="004C740E"/>
    <w:rsid w:val="004C7B3B"/>
    <w:rsid w:val="004D7D2B"/>
    <w:rsid w:val="004E08D6"/>
    <w:rsid w:val="004E1ACA"/>
    <w:rsid w:val="004E317D"/>
    <w:rsid w:val="004F431B"/>
    <w:rsid w:val="004F4FB0"/>
    <w:rsid w:val="004F5A24"/>
    <w:rsid w:val="0051365B"/>
    <w:rsid w:val="005173B7"/>
    <w:rsid w:val="0051755C"/>
    <w:rsid w:val="00520284"/>
    <w:rsid w:val="005278C5"/>
    <w:rsid w:val="0053531E"/>
    <w:rsid w:val="00535582"/>
    <w:rsid w:val="00536EF6"/>
    <w:rsid w:val="00543025"/>
    <w:rsid w:val="00544798"/>
    <w:rsid w:val="00555012"/>
    <w:rsid w:val="005651FF"/>
    <w:rsid w:val="00572D99"/>
    <w:rsid w:val="00572EBE"/>
    <w:rsid w:val="005738EE"/>
    <w:rsid w:val="0058147E"/>
    <w:rsid w:val="00583F11"/>
    <w:rsid w:val="00584AB6"/>
    <w:rsid w:val="005871FB"/>
    <w:rsid w:val="0058782F"/>
    <w:rsid w:val="00592BD6"/>
    <w:rsid w:val="005933A8"/>
    <w:rsid w:val="00597CCA"/>
    <w:rsid w:val="005A35DB"/>
    <w:rsid w:val="005C784C"/>
    <w:rsid w:val="005D039C"/>
    <w:rsid w:val="005D4549"/>
    <w:rsid w:val="005E3E26"/>
    <w:rsid w:val="005F31A3"/>
    <w:rsid w:val="005F6D8D"/>
    <w:rsid w:val="00607936"/>
    <w:rsid w:val="00610232"/>
    <w:rsid w:val="00610279"/>
    <w:rsid w:val="00611627"/>
    <w:rsid w:val="00617BBF"/>
    <w:rsid w:val="00617E9F"/>
    <w:rsid w:val="00624DD3"/>
    <w:rsid w:val="006261B6"/>
    <w:rsid w:val="006313BB"/>
    <w:rsid w:val="00633D40"/>
    <w:rsid w:val="00634AF7"/>
    <w:rsid w:val="00640329"/>
    <w:rsid w:val="00643698"/>
    <w:rsid w:val="00657B9F"/>
    <w:rsid w:val="00664171"/>
    <w:rsid w:val="00666978"/>
    <w:rsid w:val="0067788E"/>
    <w:rsid w:val="00682B75"/>
    <w:rsid w:val="006842ED"/>
    <w:rsid w:val="006879E2"/>
    <w:rsid w:val="00693916"/>
    <w:rsid w:val="00696DA5"/>
    <w:rsid w:val="006B051F"/>
    <w:rsid w:val="006B16F6"/>
    <w:rsid w:val="006B4785"/>
    <w:rsid w:val="006D5ECC"/>
    <w:rsid w:val="006E53A7"/>
    <w:rsid w:val="006F256B"/>
    <w:rsid w:val="006F5240"/>
    <w:rsid w:val="00702789"/>
    <w:rsid w:val="007155CD"/>
    <w:rsid w:val="007228C6"/>
    <w:rsid w:val="007272A3"/>
    <w:rsid w:val="00735D98"/>
    <w:rsid w:val="007362BE"/>
    <w:rsid w:val="00750254"/>
    <w:rsid w:val="007505A4"/>
    <w:rsid w:val="00751015"/>
    <w:rsid w:val="00752E03"/>
    <w:rsid w:val="00754CD5"/>
    <w:rsid w:val="007566E7"/>
    <w:rsid w:val="00784DB2"/>
    <w:rsid w:val="00785F16"/>
    <w:rsid w:val="007A08BA"/>
    <w:rsid w:val="007A5736"/>
    <w:rsid w:val="007B0D73"/>
    <w:rsid w:val="007B1999"/>
    <w:rsid w:val="007B2F04"/>
    <w:rsid w:val="007B4F48"/>
    <w:rsid w:val="007B4FE9"/>
    <w:rsid w:val="007C019D"/>
    <w:rsid w:val="007C2589"/>
    <w:rsid w:val="007C3C96"/>
    <w:rsid w:val="007D0D6A"/>
    <w:rsid w:val="007D58F8"/>
    <w:rsid w:val="007D7072"/>
    <w:rsid w:val="007E2BA9"/>
    <w:rsid w:val="007E6857"/>
    <w:rsid w:val="007F649C"/>
    <w:rsid w:val="008016F5"/>
    <w:rsid w:val="0081555D"/>
    <w:rsid w:val="00815F94"/>
    <w:rsid w:val="00835BD0"/>
    <w:rsid w:val="00843C73"/>
    <w:rsid w:val="0085313D"/>
    <w:rsid w:val="008608B3"/>
    <w:rsid w:val="00863B9B"/>
    <w:rsid w:val="00864008"/>
    <w:rsid w:val="00866AEE"/>
    <w:rsid w:val="008712F9"/>
    <w:rsid w:val="00877BE4"/>
    <w:rsid w:val="00892EFE"/>
    <w:rsid w:val="008A3DB5"/>
    <w:rsid w:val="008A509A"/>
    <w:rsid w:val="008A6767"/>
    <w:rsid w:val="008B1D66"/>
    <w:rsid w:val="008B295E"/>
    <w:rsid w:val="008C6F85"/>
    <w:rsid w:val="008E4D1F"/>
    <w:rsid w:val="008E754A"/>
    <w:rsid w:val="008F577D"/>
    <w:rsid w:val="009010C8"/>
    <w:rsid w:val="00904A6D"/>
    <w:rsid w:val="0091191E"/>
    <w:rsid w:val="009164B6"/>
    <w:rsid w:val="00922BF9"/>
    <w:rsid w:val="00934242"/>
    <w:rsid w:val="00936101"/>
    <w:rsid w:val="00941296"/>
    <w:rsid w:val="0094602F"/>
    <w:rsid w:val="0095322C"/>
    <w:rsid w:val="009540F1"/>
    <w:rsid w:val="00954A12"/>
    <w:rsid w:val="00963516"/>
    <w:rsid w:val="00963885"/>
    <w:rsid w:val="0096443F"/>
    <w:rsid w:val="0096762B"/>
    <w:rsid w:val="00967E89"/>
    <w:rsid w:val="009852AB"/>
    <w:rsid w:val="00990D55"/>
    <w:rsid w:val="0099517C"/>
    <w:rsid w:val="009A0389"/>
    <w:rsid w:val="009A2286"/>
    <w:rsid w:val="009B7ADF"/>
    <w:rsid w:val="009C272F"/>
    <w:rsid w:val="009C3709"/>
    <w:rsid w:val="009C6A20"/>
    <w:rsid w:val="009D1575"/>
    <w:rsid w:val="009D29CB"/>
    <w:rsid w:val="009D49BD"/>
    <w:rsid w:val="00A03722"/>
    <w:rsid w:val="00A038F1"/>
    <w:rsid w:val="00A136CB"/>
    <w:rsid w:val="00A17AD8"/>
    <w:rsid w:val="00A2099E"/>
    <w:rsid w:val="00A30FFF"/>
    <w:rsid w:val="00A31C35"/>
    <w:rsid w:val="00A33D49"/>
    <w:rsid w:val="00A43489"/>
    <w:rsid w:val="00A44209"/>
    <w:rsid w:val="00A463B9"/>
    <w:rsid w:val="00A52A52"/>
    <w:rsid w:val="00A82AE4"/>
    <w:rsid w:val="00A93F75"/>
    <w:rsid w:val="00A96F8B"/>
    <w:rsid w:val="00A96FB3"/>
    <w:rsid w:val="00A976A0"/>
    <w:rsid w:val="00AA599E"/>
    <w:rsid w:val="00AD3FB3"/>
    <w:rsid w:val="00AD57E4"/>
    <w:rsid w:val="00AE4659"/>
    <w:rsid w:val="00AE4773"/>
    <w:rsid w:val="00AE68B9"/>
    <w:rsid w:val="00AE76E0"/>
    <w:rsid w:val="00AF44BF"/>
    <w:rsid w:val="00B064B6"/>
    <w:rsid w:val="00B212C0"/>
    <w:rsid w:val="00B21ADD"/>
    <w:rsid w:val="00B22EF6"/>
    <w:rsid w:val="00B43722"/>
    <w:rsid w:val="00B51D50"/>
    <w:rsid w:val="00B54F0B"/>
    <w:rsid w:val="00B60A78"/>
    <w:rsid w:val="00B63612"/>
    <w:rsid w:val="00B63C88"/>
    <w:rsid w:val="00B70F86"/>
    <w:rsid w:val="00B7796E"/>
    <w:rsid w:val="00B77F32"/>
    <w:rsid w:val="00B83017"/>
    <w:rsid w:val="00B857C2"/>
    <w:rsid w:val="00B8724A"/>
    <w:rsid w:val="00B91B0E"/>
    <w:rsid w:val="00B96446"/>
    <w:rsid w:val="00BB4790"/>
    <w:rsid w:val="00BB5E87"/>
    <w:rsid w:val="00BC2583"/>
    <w:rsid w:val="00BC7C01"/>
    <w:rsid w:val="00BD4820"/>
    <w:rsid w:val="00BE0B5A"/>
    <w:rsid w:val="00BF2716"/>
    <w:rsid w:val="00BF424E"/>
    <w:rsid w:val="00BF5B9F"/>
    <w:rsid w:val="00BF7D79"/>
    <w:rsid w:val="00C106BD"/>
    <w:rsid w:val="00C1184E"/>
    <w:rsid w:val="00C1234D"/>
    <w:rsid w:val="00C1701D"/>
    <w:rsid w:val="00C33AAB"/>
    <w:rsid w:val="00C36EF5"/>
    <w:rsid w:val="00C514D3"/>
    <w:rsid w:val="00C542D0"/>
    <w:rsid w:val="00C652FE"/>
    <w:rsid w:val="00C71AF1"/>
    <w:rsid w:val="00C74371"/>
    <w:rsid w:val="00C85D6D"/>
    <w:rsid w:val="00C947FC"/>
    <w:rsid w:val="00C975DA"/>
    <w:rsid w:val="00CA0EAF"/>
    <w:rsid w:val="00CA1F92"/>
    <w:rsid w:val="00CB21B2"/>
    <w:rsid w:val="00CB4D3E"/>
    <w:rsid w:val="00CC50DB"/>
    <w:rsid w:val="00CC61CE"/>
    <w:rsid w:val="00CD2840"/>
    <w:rsid w:val="00CD3A60"/>
    <w:rsid w:val="00CD5A05"/>
    <w:rsid w:val="00CD73CA"/>
    <w:rsid w:val="00CE585D"/>
    <w:rsid w:val="00CF1CD1"/>
    <w:rsid w:val="00CF53E4"/>
    <w:rsid w:val="00D03FF8"/>
    <w:rsid w:val="00D04794"/>
    <w:rsid w:val="00D11B98"/>
    <w:rsid w:val="00D15D07"/>
    <w:rsid w:val="00D16876"/>
    <w:rsid w:val="00D33F6E"/>
    <w:rsid w:val="00D41C70"/>
    <w:rsid w:val="00D763DF"/>
    <w:rsid w:val="00D95864"/>
    <w:rsid w:val="00DA1A89"/>
    <w:rsid w:val="00DA2503"/>
    <w:rsid w:val="00DC06BB"/>
    <w:rsid w:val="00DC53B3"/>
    <w:rsid w:val="00DC5835"/>
    <w:rsid w:val="00DC5D80"/>
    <w:rsid w:val="00DD3441"/>
    <w:rsid w:val="00DE5DAC"/>
    <w:rsid w:val="00DF154A"/>
    <w:rsid w:val="00DF4B43"/>
    <w:rsid w:val="00DF5501"/>
    <w:rsid w:val="00DF59DD"/>
    <w:rsid w:val="00DF5C5A"/>
    <w:rsid w:val="00E00639"/>
    <w:rsid w:val="00E0668B"/>
    <w:rsid w:val="00E14594"/>
    <w:rsid w:val="00E1510D"/>
    <w:rsid w:val="00E17768"/>
    <w:rsid w:val="00E20A87"/>
    <w:rsid w:val="00E21378"/>
    <w:rsid w:val="00E316FC"/>
    <w:rsid w:val="00E33B8B"/>
    <w:rsid w:val="00E4241C"/>
    <w:rsid w:val="00E450E1"/>
    <w:rsid w:val="00E46EAA"/>
    <w:rsid w:val="00E55C4F"/>
    <w:rsid w:val="00E66775"/>
    <w:rsid w:val="00E710B3"/>
    <w:rsid w:val="00E738D8"/>
    <w:rsid w:val="00E74AAF"/>
    <w:rsid w:val="00E86336"/>
    <w:rsid w:val="00E97D5F"/>
    <w:rsid w:val="00E97FF4"/>
    <w:rsid w:val="00EA15A8"/>
    <w:rsid w:val="00EB1CB1"/>
    <w:rsid w:val="00EC1B34"/>
    <w:rsid w:val="00EC4287"/>
    <w:rsid w:val="00EC610A"/>
    <w:rsid w:val="00EC6E1F"/>
    <w:rsid w:val="00ED1302"/>
    <w:rsid w:val="00F049B0"/>
    <w:rsid w:val="00F05502"/>
    <w:rsid w:val="00F06D95"/>
    <w:rsid w:val="00F11656"/>
    <w:rsid w:val="00F12630"/>
    <w:rsid w:val="00F204C6"/>
    <w:rsid w:val="00F22359"/>
    <w:rsid w:val="00F238F1"/>
    <w:rsid w:val="00F3424F"/>
    <w:rsid w:val="00F57559"/>
    <w:rsid w:val="00F74E2D"/>
    <w:rsid w:val="00F96CA0"/>
    <w:rsid w:val="00FC6224"/>
    <w:rsid w:val="00FC64EE"/>
    <w:rsid w:val="00FE0628"/>
    <w:rsid w:val="00FE59F2"/>
    <w:rsid w:val="00FF31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A2294"/>
  <w15:docId w15:val="{191D99DF-8BC7-4DEA-8F57-A743AA40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utscheBank" w:eastAsia="Times New Roman" w:hAnsi="DeutscheBan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009"/>
    <w:rPr>
      <w:lang w:val="en-GB"/>
    </w:rPr>
  </w:style>
  <w:style w:type="paragraph" w:styleId="Heading1">
    <w:name w:val="heading 1"/>
    <w:basedOn w:val="Normal"/>
    <w:next w:val="Normal"/>
    <w:qFormat/>
    <w:rsid w:val="00990D55"/>
    <w:pPr>
      <w:keepNext/>
      <w:spacing w:before="320" w:after="320" w:line="320" w:lineRule="exact"/>
      <w:outlineLvl w:val="0"/>
    </w:pPr>
    <w:rPr>
      <w:rFonts w:asciiTheme="majorHAnsi" w:hAnsiTheme="majorHAnsi" w:cs="Arial"/>
      <w:b/>
      <w:bCs/>
      <w:color w:val="1E2A78" w:themeColor="accent1"/>
      <w:sz w:val="32"/>
    </w:rPr>
  </w:style>
  <w:style w:type="paragraph" w:styleId="Heading2">
    <w:name w:val="heading 2"/>
    <w:basedOn w:val="Heading1"/>
    <w:next w:val="Normal"/>
    <w:qFormat/>
    <w:rsid w:val="00990D55"/>
    <w:pPr>
      <w:outlineLvl w:val="1"/>
    </w:pPr>
    <w:rPr>
      <w:b w:val="0"/>
      <w:bCs w:val="0"/>
      <w:iCs/>
      <w:color w:val="0069B1" w:themeColor="accent2"/>
    </w:rPr>
  </w:style>
  <w:style w:type="paragraph" w:styleId="Heading3">
    <w:name w:val="heading 3"/>
    <w:basedOn w:val="Heading1"/>
    <w:next w:val="Normal"/>
    <w:qFormat/>
    <w:rsid w:val="00990D55"/>
    <w:pPr>
      <w:spacing w:before="280" w:after="280" w:line="240" w:lineRule="auto"/>
      <w:outlineLvl w:val="2"/>
    </w:pPr>
    <w:rPr>
      <w:b w:val="0"/>
      <w:bCs w:val="0"/>
      <w:color w:val="16184E"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30C"/>
    <w:pPr>
      <w:tabs>
        <w:tab w:val="center" w:pos="4536"/>
        <w:tab w:val="right" w:pos="9072"/>
      </w:tabs>
    </w:pPr>
  </w:style>
  <w:style w:type="paragraph" w:styleId="Footer">
    <w:name w:val="footer"/>
    <w:aliases w:val="footer"/>
    <w:basedOn w:val="Normal"/>
    <w:link w:val="FooterChar"/>
    <w:uiPriority w:val="99"/>
    <w:rsid w:val="00DF59DD"/>
    <w:pPr>
      <w:tabs>
        <w:tab w:val="left" w:pos="357"/>
      </w:tabs>
      <w:suppressAutoHyphens/>
      <w:spacing w:line="150" w:lineRule="exact"/>
    </w:pPr>
    <w:rPr>
      <w:rFonts w:cs="Arial"/>
      <w:noProof/>
      <w:sz w:val="12"/>
      <w:szCs w:val="12"/>
    </w:rPr>
  </w:style>
  <w:style w:type="character" w:customStyle="1" w:styleId="HeaderChar">
    <w:name w:val="Header Char"/>
    <w:basedOn w:val="DefaultParagraphFont"/>
    <w:link w:val="Header"/>
    <w:uiPriority w:val="99"/>
    <w:rsid w:val="0011130C"/>
    <w:rPr>
      <w:rFonts w:ascii="Arial" w:hAnsi="Arial"/>
      <w:sz w:val="21"/>
      <w:szCs w:val="22"/>
    </w:rPr>
  </w:style>
  <w:style w:type="table" w:styleId="TableGrid">
    <w:name w:val="Table Grid"/>
    <w:basedOn w:val="TableNormal"/>
    <w:rsid w:val="00F3424F"/>
    <w:pPr>
      <w:tabs>
        <w:tab w:val="left" w:pos="357"/>
      </w:tabs>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sdetails">
    <w:name w:val="Senders details"/>
    <w:basedOn w:val="Normal"/>
    <w:qFormat/>
    <w:rsid w:val="00DF59DD"/>
    <w:pPr>
      <w:framePr w:w="3402" w:h="2835" w:hRule="exact" w:wrap="around" w:vAnchor="page" w:hAnchor="page" w:x="7939" w:y="2269" w:anchorLock="1"/>
      <w:tabs>
        <w:tab w:val="left" w:pos="357"/>
      </w:tabs>
      <w:spacing w:after="90"/>
    </w:pPr>
    <w:rPr>
      <w:noProof/>
      <w:color w:val="000000" w:themeColor="text1"/>
      <w:sz w:val="18"/>
      <w:szCs w:val="18"/>
    </w:rPr>
  </w:style>
  <w:style w:type="paragraph" w:customStyle="1" w:styleId="Addressee">
    <w:name w:val="Addressee"/>
    <w:basedOn w:val="Normal"/>
    <w:qFormat/>
    <w:rsid w:val="00DF59DD"/>
    <w:pPr>
      <w:framePr w:w="4536" w:h="1537" w:hRule="exact" w:wrap="notBeside" w:vAnchor="page" w:hAnchor="page" w:x="1419" w:y="2989" w:anchorLock="1"/>
    </w:pPr>
  </w:style>
  <w:style w:type="character" w:customStyle="1" w:styleId="FooterChar">
    <w:name w:val="Footer Char"/>
    <w:aliases w:val="footer Char"/>
    <w:basedOn w:val="DefaultParagraphFont"/>
    <w:link w:val="Footer"/>
    <w:uiPriority w:val="99"/>
    <w:rsid w:val="00DF59DD"/>
    <w:rPr>
      <w:rFonts w:asciiTheme="minorHAnsi" w:hAnsiTheme="minorHAnsi" w:cs="Arial"/>
      <w:noProof/>
      <w:sz w:val="12"/>
      <w:szCs w:val="12"/>
      <w:lang w:val="en-GB"/>
    </w:rPr>
  </w:style>
  <w:style w:type="character" w:styleId="Hyperlink">
    <w:name w:val="Hyperlink"/>
    <w:basedOn w:val="DefaultParagraphFont"/>
    <w:unhideWhenUsed/>
    <w:rsid w:val="00256C71"/>
    <w:rPr>
      <w:color w:val="000000" w:themeColor="text1"/>
      <w:u w:val="none"/>
    </w:rPr>
  </w:style>
  <w:style w:type="paragraph" w:customStyle="1" w:styleId="Identifier">
    <w:name w:val="Identifier"/>
    <w:basedOn w:val="Normal"/>
    <w:qFormat/>
    <w:rsid w:val="009B7ADF"/>
    <w:pPr>
      <w:spacing w:line="240" w:lineRule="exact"/>
    </w:pPr>
    <w:rPr>
      <w:rFonts w:asciiTheme="majorHAnsi" w:hAnsiTheme="majorHAnsi"/>
      <w:noProof/>
      <w:color w:val="1E2A78" w:themeColor="accent1"/>
      <w:sz w:val="24"/>
      <w:szCs w:val="24"/>
    </w:rPr>
  </w:style>
  <w:style w:type="character" w:customStyle="1" w:styleId="FuzeileZchn1">
    <w:name w:val="Fußzeile Zchn1"/>
    <w:basedOn w:val="DefaultParagraphFont"/>
    <w:semiHidden/>
    <w:rsid w:val="00026DC6"/>
    <w:rPr>
      <w:rFonts w:ascii="Deutsche Bank Text" w:hAnsi="Deutsche Bank Text"/>
      <w:sz w:val="21"/>
      <w:szCs w:val="22"/>
    </w:rPr>
  </w:style>
  <w:style w:type="character" w:styleId="UnresolvedMention">
    <w:name w:val="Unresolved Mention"/>
    <w:basedOn w:val="DefaultParagraphFont"/>
    <w:uiPriority w:val="99"/>
    <w:semiHidden/>
    <w:unhideWhenUsed/>
    <w:rsid w:val="00DF154A"/>
    <w:rPr>
      <w:color w:val="605E5C"/>
      <w:shd w:val="clear" w:color="auto" w:fill="E1DFDD"/>
    </w:rPr>
  </w:style>
  <w:style w:type="paragraph" w:customStyle="1" w:styleId="copy">
    <w:name w:val="copy"/>
    <w:basedOn w:val="Normal"/>
    <w:qFormat/>
    <w:rsid w:val="00815F94"/>
    <w:pPr>
      <w:tabs>
        <w:tab w:val="left" w:pos="6521"/>
      </w:tabs>
      <w:autoSpaceDE w:val="0"/>
      <w:autoSpaceDN w:val="0"/>
      <w:adjustRightInd w:val="0"/>
    </w:pPr>
    <w:rPr>
      <w:rFonts w:cs="Arial"/>
      <w:color w:val="000000"/>
    </w:rPr>
  </w:style>
  <w:style w:type="character" w:styleId="PlaceholderText">
    <w:name w:val="Placeholder Text"/>
    <w:basedOn w:val="DefaultParagraphFont"/>
    <w:uiPriority w:val="99"/>
    <w:semiHidden/>
    <w:rsid w:val="00C542D0"/>
    <w:rPr>
      <w:color w:val="666666"/>
    </w:rPr>
  </w:style>
  <w:style w:type="character" w:customStyle="1" w:styleId="Bold">
    <w:name w:val="Bold"/>
    <w:basedOn w:val="DefaultParagraphFont"/>
    <w:uiPriority w:val="1"/>
    <w:qFormat/>
    <w:rsid w:val="00815F94"/>
    <w:rPr>
      <w:b/>
      <w:bCs/>
    </w:rPr>
  </w:style>
  <w:style w:type="paragraph" w:customStyle="1" w:styleId="Adresse">
    <w:name w:val="Adresse"/>
    <w:basedOn w:val="Normal"/>
    <w:rsid w:val="001B2009"/>
    <w:pPr>
      <w:framePr w:w="4536" w:h="1641" w:hRule="exact" w:hSpace="142" w:wrap="notBeside" w:vAnchor="page" w:hAnchor="page" w:x="1362" w:y="2859" w:anchorLock="1"/>
      <w:spacing w:line="240" w:lineRule="exact"/>
    </w:pPr>
    <w:rPr>
      <w:rFonts w:ascii="Arial" w:hAnsi="Arial" w:cs="Arial"/>
      <w:spacing w:val="-2"/>
      <w:sz w:val="21"/>
      <w:szCs w:val="22"/>
      <w:lang w:val="de-DE"/>
    </w:rPr>
  </w:style>
  <w:style w:type="paragraph" w:customStyle="1" w:styleId="copytext">
    <w:name w:val="copy text"/>
    <w:basedOn w:val="Normal"/>
    <w:qFormat/>
    <w:rsid w:val="001B2009"/>
    <w:pPr>
      <w:autoSpaceDE w:val="0"/>
      <w:autoSpaceDN w:val="0"/>
      <w:adjustRightInd w:val="0"/>
    </w:pPr>
    <w:rPr>
      <w:rFonts w:ascii="Arial" w:hAnsi="Arial" w:cs="Arial"/>
      <w:color w:val="000000"/>
      <w:spacing w:val="-2"/>
      <w:sz w:val="21"/>
      <w:szCs w:val="22"/>
    </w:rPr>
  </w:style>
  <w:style w:type="paragraph" w:styleId="ListParagraph">
    <w:name w:val="List Paragraph"/>
    <w:basedOn w:val="Normal"/>
    <w:uiPriority w:val="34"/>
    <w:qFormat/>
    <w:rsid w:val="001B2009"/>
    <w:pPr>
      <w:ind w:left="720"/>
    </w:pPr>
    <w:rPr>
      <w:rFonts w:ascii="Aptos" w:eastAsiaTheme="minorHAnsi" w:hAnsi="Aptos" w:cs="Aptos"/>
      <w:sz w:val="22"/>
      <w:szCs w:val="22"/>
      <w:lang w:val="en-US" w:eastAsia="en-US"/>
      <w14:ligatures w14:val="standardContextual"/>
    </w:rPr>
  </w:style>
  <w:style w:type="paragraph" w:styleId="Revision">
    <w:name w:val="Revision"/>
    <w:hidden/>
    <w:uiPriority w:val="99"/>
    <w:semiHidden/>
    <w:rsid w:val="004B378E"/>
    <w:rPr>
      <w:lang w:val="en-GB"/>
    </w:rPr>
  </w:style>
  <w:style w:type="paragraph" w:styleId="FootnoteText">
    <w:name w:val="footnote text"/>
    <w:basedOn w:val="Normal"/>
    <w:link w:val="FootnoteTextChar"/>
    <w:semiHidden/>
    <w:unhideWhenUsed/>
    <w:rsid w:val="007F649C"/>
  </w:style>
  <w:style w:type="character" w:customStyle="1" w:styleId="FootnoteTextChar">
    <w:name w:val="Footnote Text Char"/>
    <w:basedOn w:val="DefaultParagraphFont"/>
    <w:link w:val="FootnoteText"/>
    <w:semiHidden/>
    <w:rsid w:val="007F649C"/>
    <w:rPr>
      <w:lang w:val="en-GB"/>
    </w:rPr>
  </w:style>
  <w:style w:type="character" w:styleId="FootnoteReference">
    <w:name w:val="footnote reference"/>
    <w:basedOn w:val="DefaultParagraphFont"/>
    <w:semiHidden/>
    <w:unhideWhenUsed/>
    <w:rsid w:val="007F649C"/>
    <w:rPr>
      <w:vertAlign w:val="superscript"/>
    </w:rPr>
  </w:style>
  <w:style w:type="character" w:styleId="FollowedHyperlink">
    <w:name w:val="FollowedHyperlink"/>
    <w:basedOn w:val="DefaultParagraphFont"/>
    <w:semiHidden/>
    <w:unhideWhenUsed/>
    <w:rsid w:val="00666978"/>
    <w:rPr>
      <w:color w:val="00A3E0" w:themeColor="followedHyperlink"/>
      <w:u w:val="single"/>
    </w:rPr>
  </w:style>
  <w:style w:type="character" w:styleId="CommentReference">
    <w:name w:val="annotation reference"/>
    <w:basedOn w:val="DefaultParagraphFont"/>
    <w:semiHidden/>
    <w:unhideWhenUsed/>
    <w:rsid w:val="00A93F75"/>
    <w:rPr>
      <w:sz w:val="16"/>
      <w:szCs w:val="16"/>
    </w:rPr>
  </w:style>
  <w:style w:type="paragraph" w:styleId="CommentText">
    <w:name w:val="annotation text"/>
    <w:basedOn w:val="Normal"/>
    <w:link w:val="CommentTextChar"/>
    <w:unhideWhenUsed/>
    <w:rsid w:val="00A93F75"/>
  </w:style>
  <w:style w:type="character" w:customStyle="1" w:styleId="CommentTextChar">
    <w:name w:val="Comment Text Char"/>
    <w:basedOn w:val="DefaultParagraphFont"/>
    <w:link w:val="CommentText"/>
    <w:rsid w:val="00A93F75"/>
    <w:rPr>
      <w:lang w:val="en-GB"/>
    </w:rPr>
  </w:style>
  <w:style w:type="paragraph" w:styleId="CommentSubject">
    <w:name w:val="annotation subject"/>
    <w:basedOn w:val="CommentText"/>
    <w:next w:val="CommentText"/>
    <w:link w:val="CommentSubjectChar"/>
    <w:semiHidden/>
    <w:unhideWhenUsed/>
    <w:rsid w:val="00A93F75"/>
    <w:rPr>
      <w:b/>
      <w:bCs/>
    </w:rPr>
  </w:style>
  <w:style w:type="character" w:customStyle="1" w:styleId="CommentSubjectChar">
    <w:name w:val="Comment Subject Char"/>
    <w:basedOn w:val="CommentTextChar"/>
    <w:link w:val="CommentSubject"/>
    <w:semiHidden/>
    <w:rsid w:val="00A93F75"/>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sda.org/a/NzGTE/SBS-Protocol-Supplement-I.pdf" TargetMode="External"/><Relationship Id="rId1" Type="http://schemas.openxmlformats.org/officeDocument/2006/relationships/hyperlink" Target="https://www.isda.org/protocol/isda-august-2012-df-protocol/" TargetMode="External"/></Relationships>
</file>

<file path=word/theme/theme1.xml><?xml version="1.0" encoding="utf-8"?>
<a:theme xmlns:a="http://schemas.openxmlformats.org/drawingml/2006/main" name="db24-bright-2025-01">
  <a:themeElements>
    <a:clrScheme name="DB 2024 09">
      <a:dk1>
        <a:srgbClr val="000000"/>
      </a:dk1>
      <a:lt1>
        <a:srgbClr val="FFFFFF"/>
      </a:lt1>
      <a:dk2>
        <a:srgbClr val="16184E"/>
      </a:dk2>
      <a:lt2>
        <a:srgbClr val="CCEDF9"/>
      </a:lt2>
      <a:accent1>
        <a:srgbClr val="1E2A78"/>
      </a:accent1>
      <a:accent2>
        <a:srgbClr val="0069B1"/>
      </a:accent2>
      <a:accent3>
        <a:srgbClr val="3BB8B8"/>
      </a:accent3>
      <a:accent4>
        <a:srgbClr val="24778D"/>
      </a:accent4>
      <a:accent5>
        <a:srgbClr val="25A62D"/>
      </a:accent5>
      <a:accent6>
        <a:srgbClr val="C9DD03"/>
      </a:accent6>
      <a:hlink>
        <a:srgbClr val="00A3E0"/>
      </a:hlink>
      <a:folHlink>
        <a:srgbClr val="00A3E0"/>
      </a:folHlink>
    </a:clrScheme>
    <a:fontScheme name="Deutsche Bank 2024 09">
      <a:majorFont>
        <a:latin typeface="DeutscheBank"/>
        <a:ea typeface="MS PGothic"/>
        <a:cs typeface=""/>
      </a:majorFont>
      <a:minorFont>
        <a:latin typeface="Deutsche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noFill/>
      </a:spPr>
      <a:bodyPr wrap="none" lIns="0" tIns="0" rIns="0" bIns="0" rtlCol="0">
        <a:spAutoFit/>
      </a:bodyPr>
      <a:lstStyle>
        <a:defPPr algn="l">
          <a:defRPr sz="1400" dirty="0" smtClean="0"/>
        </a:defPPr>
      </a:lstStyle>
    </a:txDef>
  </a:objectDefaults>
  <a:extraClrSchemeLst/>
  <a:custClrLst>
    <a:custClr name="Deep Blue">
      <a:srgbClr val="1E2A78"/>
    </a:custClr>
    <a:custClr name="Dark Blue">
      <a:srgbClr val="16184E"/>
    </a:custClr>
    <a:custClr name="Mid Blue">
      <a:srgbClr val="0069B1"/>
    </a:custClr>
    <a:custClr name="Bright Blue">
      <a:srgbClr val="34A6DC"/>
    </a:custClr>
    <a:custClr name="Light Blue">
      <a:srgbClr val="CDEBF6"/>
    </a:custClr>
    <a:custClr name="Ice Blue">
      <a:srgbClr val="ECF4FC"/>
    </a:custClr>
    <a:custClr name="Grey">
      <a:srgbClr val="EDF1F7"/>
    </a:custClr>
    <a:custClr name="Light Violet">
      <a:srgbClr val="C18EBD"/>
    </a:custClr>
    <a:custClr name="Rubine Red">
      <a:srgbClr val="D4065D"/>
    </a:custClr>
    <a:custClr name="White">
      <a:srgbClr val="FFFFFF"/>
    </a:custClr>
    <a:custClr name="Turquoise">
      <a:srgbClr val="3BB8B8"/>
    </a:custClr>
    <a:custClr name="Petrol">
      <a:srgbClr val="24778D"/>
    </a:custClr>
    <a:custClr name="Summer Green">
      <a:srgbClr val="25A62D"/>
    </a:custClr>
    <a:custClr name="Spring Green">
      <a:srgbClr val="C9DD03"/>
    </a:custClr>
    <a:custClr name="Autumn Green">
      <a:srgbClr val="A1AC05"/>
    </a:custClr>
    <a:custClr name="Lucent Yellow">
      <a:srgbClr val="FFE600"/>
    </a:custClr>
    <a:custClr name="Sundown Orange">
      <a:srgbClr val="F28011"/>
    </a:custClr>
    <a:custClr name="Night Violet">
      <a:srgbClr val="431661"/>
    </a:custClr>
    <a:custClr name="Bright Red">
      <a:srgbClr val="E7001D"/>
    </a:custClr>
    <a:custClr name="White">
      <a:srgbClr val="FFFFFF"/>
    </a:custClr>
  </a:custClrLst>
  <a:extLst>
    <a:ext uri="{05A4C25C-085E-4340-85A3-A5531E510DB2}">
      <thm15:themeFamily xmlns:thm15="http://schemas.microsoft.com/office/thememl/2012/main" name="db24-bright-2025-01" id="{CE5E6E1F-4E6A-41FC-A1CC-BAD2791C7B66}" vid="{7C94FF46-8220-4740-BE68-35FA3E1CCF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96A874D01049B1A03260E77D8D3A" ma:contentTypeVersion="15" ma:contentTypeDescription="Create a new document." ma:contentTypeScope="" ma:versionID="5c2e770ede307a4b58419cb6202f5955">
  <xsd:schema xmlns:xsd="http://www.w3.org/2001/XMLSchema" xmlns:xs="http://www.w3.org/2001/XMLSchema" xmlns:p="http://schemas.microsoft.com/office/2006/metadata/properties" xmlns:ns1="http://schemas.microsoft.com/sharepoint/v3" xmlns:ns2="d81d000a-7f1e-494a-895f-a83bd7b1e289" xmlns:ns3="a31fefd6-978c-4300-9ea1-09d31710d4c6" targetNamespace="http://schemas.microsoft.com/office/2006/metadata/properties" ma:root="true" ma:fieldsID="87fc4c7c07a4716031da3c15ff6d072c" ns1:_="" ns2:_="" ns3:_="">
    <xsd:import namespace="http://schemas.microsoft.com/sharepoint/v3"/>
    <xsd:import namespace="d81d000a-7f1e-494a-895f-a83bd7b1e289"/>
    <xsd:import namespace="a31fefd6-978c-4300-9ea1-09d31710d4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d000a-7f1e-494a-895f-a83bd7b1e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c7666e-d55c-42e6-98c7-52deeb412a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fefd6-978c-4300-9ea1-09d31710d4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4edd86-cdce-4e1a-8deb-61ec6acdb099}" ma:internalName="TaxCatchAll" ma:showField="CatchAllData" ma:web="a31fefd6-978c-4300-9ea1-09d31710d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81d000a-7f1e-494a-895f-a83bd7b1e289">
      <Terms xmlns="http://schemas.microsoft.com/office/infopath/2007/PartnerControls"/>
    </lcf76f155ced4ddcb4097134ff3c332f>
    <TaxCatchAll xmlns="a31fefd6-978c-4300-9ea1-09d31710d4c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2D796-54CF-41CE-A310-45E2D7C2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d000a-7f1e-494a-895f-a83bd7b1e289"/>
    <ds:schemaRef ds:uri="a31fefd6-978c-4300-9ea1-09d31710d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A3841-B27E-4519-860E-FE4A527010C8}">
  <ds:schemaRefs>
    <ds:schemaRef ds:uri="http://schemas.openxmlformats.org/officeDocument/2006/bibliography"/>
  </ds:schemaRefs>
</ds:datastoreItem>
</file>

<file path=customXml/itemProps3.xml><?xml version="1.0" encoding="utf-8"?>
<ds:datastoreItem xmlns:ds="http://schemas.openxmlformats.org/officeDocument/2006/customXml" ds:itemID="{B550FE26-9CB6-40C0-97A9-42EA1AC0C804}">
  <ds:schemaRefs>
    <ds:schemaRef ds:uri="http://schemas.microsoft.com/office/2006/metadata/properties"/>
    <ds:schemaRef ds:uri="http://schemas.microsoft.com/office/infopath/2007/PartnerControls"/>
    <ds:schemaRef ds:uri="http://schemas.microsoft.com/sharepoint/v3"/>
    <ds:schemaRef ds:uri="d81d000a-7f1e-494a-895f-a83bd7b1e289"/>
    <ds:schemaRef ds:uri="a31fefd6-978c-4300-9ea1-09d31710d4c6"/>
  </ds:schemaRefs>
</ds:datastoreItem>
</file>

<file path=customXml/itemProps4.xml><?xml version="1.0" encoding="utf-8"?>
<ds:datastoreItem xmlns:ds="http://schemas.openxmlformats.org/officeDocument/2006/customXml" ds:itemID="{1200D1BA-C9E3-4A4F-91D2-BA53320B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4910</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Briefvorlage Deutsche Bank AG deutsch</vt:lpstr>
      <vt:lpstr>Briefvorlage Deutsche Bank AG deutsch</vt:lpstr>
    </vt:vector>
  </TitlesOfParts>
  <Company>Deutsche Bank AG</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Deutsche Bank AG deutsch</dc:title>
  <dc:subject>Counterparty External Business Conduct Rights Document</dc:subject>
  <dc:creator>Deutsche Bank AG</dc:creator>
  <cp:keywords>Public</cp:keywords>
  <dc:description/>
  <cp:lastModifiedBy>Jacques Regnier</cp:lastModifiedBy>
  <cp:revision>2</cp:revision>
  <cp:lastPrinted>2025-05-05T10:34:00Z</cp:lastPrinted>
  <dcterms:created xsi:type="dcterms:W3CDTF">2026-05-19T16:54:00Z</dcterms:created>
  <dcterms:modified xsi:type="dcterms:W3CDTF">2026-05-19T16:54:00Z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XXK</vt:lpwstr>
  </property>
  <property fmtid="{D5CDD505-2E9C-101B-9397-08002B2CF9AE}" pid="3" name="MSIP_Label_a844c618-538c-404a-b2f6-f58b5e4f4fae_Enabled">
    <vt:lpwstr>true</vt:lpwstr>
  </property>
  <property fmtid="{D5CDD505-2E9C-101B-9397-08002B2CF9AE}" pid="4" name="MSIP_Label_a844c618-538c-404a-b2f6-f58b5e4f4fae_SetDate">
    <vt:lpwstr>2025-04-28T14:31:49Z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4d19b5ab-cd20-4a5a-9d29-42ba31df3d32</vt:lpwstr>
  </property>
  <property fmtid="{D5CDD505-2E9C-101B-9397-08002B2CF9AE}" pid="9" name="MSIP_Label_a844c618-538c-404a-b2f6-f58b5e4f4fae_ContentBits">
    <vt:lpwstr>0</vt:lpwstr>
  </property>
  <property fmtid="{D5CDD505-2E9C-101B-9397-08002B2CF9AE}" pid="10" name="MSIP_Label_a844c618-538c-404a-b2f6-f58b5e4f4fae_Tag">
    <vt:lpwstr>50, 0, 1, 1</vt:lpwstr>
  </property>
  <property fmtid="{D5CDD505-2E9C-101B-9397-08002B2CF9AE}" pid="11" name="ContentTypeId">
    <vt:lpwstr>0x0101009D3196A874D01049B1A03260E77D8D3A</vt:lpwstr>
  </property>
  <property fmtid="{D5CDD505-2E9C-101B-9397-08002B2CF9AE}" pid="12" name="ClassificationContentMarkingFooterShapeIds">
    <vt:lpwstr>480ac81f,7da51247,597c9a8c</vt:lpwstr>
  </property>
  <property fmtid="{D5CDD505-2E9C-101B-9397-08002B2CF9AE}" pid="13" name="ClassificationContentMarkingFooterFontProps">
    <vt:lpwstr>#000000,10,Calibri</vt:lpwstr>
  </property>
  <property fmtid="{D5CDD505-2E9C-101B-9397-08002B2CF9AE}" pid="14" name="ClassificationContentMarkingFooterText">
    <vt:lpwstr> </vt:lpwstr>
  </property>
  <property fmtid="{D5CDD505-2E9C-101B-9397-08002B2CF9AE}" pid="15" name="MSIP_Label_958510b9-3810-472f-9abf-3a689c488070_Enabled">
    <vt:lpwstr>true</vt:lpwstr>
  </property>
  <property fmtid="{D5CDD505-2E9C-101B-9397-08002B2CF9AE}" pid="16" name="MSIP_Label_958510b9-3810-472f-9abf-3a689c488070_SetDate">
    <vt:lpwstr>2026-01-26T13:57:28Z</vt:lpwstr>
  </property>
  <property fmtid="{D5CDD505-2E9C-101B-9397-08002B2CF9AE}" pid="17" name="MSIP_Label_958510b9-3810-472f-9abf-3a689c488070_Method">
    <vt:lpwstr>Privileged</vt:lpwstr>
  </property>
  <property fmtid="{D5CDD505-2E9C-101B-9397-08002B2CF9AE}" pid="18" name="MSIP_Label_958510b9-3810-472f-9abf-3a689c488070_Name">
    <vt:lpwstr>958510b9-3810-472f-9abf-3a689c488070</vt:lpwstr>
  </property>
  <property fmtid="{D5CDD505-2E9C-101B-9397-08002B2CF9AE}" pid="19" name="MSIP_Label_958510b9-3810-472f-9abf-3a689c488070_SiteId">
    <vt:lpwstr>1e9b61e8-e590-4abc-b1af-24125e330d2a</vt:lpwstr>
  </property>
  <property fmtid="{D5CDD505-2E9C-101B-9397-08002B2CF9AE}" pid="20" name="MSIP_Label_958510b9-3810-472f-9abf-3a689c488070_ActionId">
    <vt:lpwstr>65e570af-c1b2-4964-b1be-9c76727b8afb</vt:lpwstr>
  </property>
  <property fmtid="{D5CDD505-2E9C-101B-9397-08002B2CF9AE}" pid="21" name="MSIP_Label_958510b9-3810-472f-9abf-3a689c488070_ContentBits">
    <vt:lpwstr>3</vt:lpwstr>
  </property>
  <property fmtid="{D5CDD505-2E9C-101B-9397-08002B2CF9AE}" pid="22" name="MSIP_Label_958510b9-3810-472f-9abf-3a689c488070_Tag">
    <vt:lpwstr>10, 0, 1, 1</vt:lpwstr>
  </property>
  <property fmtid="{D5CDD505-2E9C-101B-9397-08002B2CF9AE}" pid="23" name="MediaServiceImageTags">
    <vt:lpwstr/>
  </property>
</Properties>
</file>