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0A71E" w14:textId="521A6199" w:rsidR="00AA599E" w:rsidRPr="00120104" w:rsidRDefault="00AA599E" w:rsidP="0020092D">
      <w:pPr>
        <w:jc w:val="both"/>
        <w:rPr>
          <w:rFonts w:ascii="Deutsche Bank Text" w:hAnsi="Deutsche Bank Text" w:cs="Deutsche Bank Text"/>
        </w:rPr>
      </w:pPr>
    </w:p>
    <w:p w14:paraId="41EFA4F9" w14:textId="1C46A27D" w:rsidR="0020092D" w:rsidRPr="00120104" w:rsidRDefault="0020092D" w:rsidP="0012638A">
      <w:pPr>
        <w:pStyle w:val="Heading1"/>
      </w:pPr>
      <w:r w:rsidRPr="00120104">
        <w:t>Daily Mark Methodologies and Assumptions Disclosure Statement</w:t>
      </w:r>
    </w:p>
    <w:p w14:paraId="59E85C83" w14:textId="77777777" w:rsidR="0020092D" w:rsidRPr="00120104" w:rsidRDefault="0020092D" w:rsidP="0020092D">
      <w:pPr>
        <w:jc w:val="both"/>
        <w:rPr>
          <w:rFonts w:ascii="Deutsche Bank Text" w:hAnsi="Deutsche Bank Text" w:cs="Deutsche Bank Text"/>
        </w:rPr>
      </w:pPr>
    </w:p>
    <w:p w14:paraId="2198B395" w14:textId="5CD45C5E" w:rsidR="0020092D" w:rsidRPr="00120104" w:rsidRDefault="0020092D" w:rsidP="0020092D">
      <w:pPr>
        <w:jc w:val="both"/>
        <w:rPr>
          <w:rFonts w:ascii="Deutsche Bank Text" w:hAnsi="Deutsche Bank Text" w:cs="Deutsche Bank Text"/>
          <w:u w:val="single"/>
        </w:rPr>
      </w:pPr>
      <w:r w:rsidRPr="00120104">
        <w:rPr>
          <w:rFonts w:ascii="Deutsche Bank Text" w:hAnsi="Deutsche Bank Text" w:cs="Deutsche Bank Text"/>
          <w:u w:val="single"/>
        </w:rPr>
        <w:t xml:space="preserve">General </w:t>
      </w:r>
    </w:p>
    <w:p w14:paraId="0FDE74C2" w14:textId="77777777" w:rsidR="0020092D" w:rsidRPr="00120104" w:rsidRDefault="0020092D" w:rsidP="0020092D">
      <w:pPr>
        <w:jc w:val="both"/>
        <w:rPr>
          <w:rFonts w:ascii="Deutsche Bank Text" w:hAnsi="Deutsche Bank Text" w:cs="Deutsche Bank Text"/>
        </w:rPr>
      </w:pPr>
    </w:p>
    <w:p w14:paraId="2A98FC79" w14:textId="04802EB7" w:rsidR="0020092D" w:rsidRPr="00120104" w:rsidRDefault="0020092D" w:rsidP="0057469C">
      <w:pPr>
        <w:ind w:firstLine="709"/>
        <w:jc w:val="both"/>
        <w:rPr>
          <w:rFonts w:ascii="Deutsche Bank Text" w:hAnsi="Deutsche Bank Text" w:cs="Deutsche Bank Text"/>
        </w:rPr>
      </w:pPr>
      <w:r w:rsidRPr="00120104">
        <w:rPr>
          <w:rFonts w:ascii="Deutsche Bank Text" w:hAnsi="Deutsche Bank Text" w:cs="Deutsche Bank Text"/>
        </w:rPr>
        <w:t>Deutsche Bank AG (“DB</w:t>
      </w:r>
      <w:r w:rsidR="00234A4F">
        <w:rPr>
          <w:rFonts w:ascii="Deutsche Bank Text" w:hAnsi="Deutsche Bank Text" w:cs="Deutsche Bank Text"/>
        </w:rPr>
        <w:t>AG</w:t>
      </w:r>
      <w:r w:rsidRPr="00120104">
        <w:rPr>
          <w:rFonts w:ascii="Deutsche Bank Text" w:hAnsi="Deutsche Bank Text" w:cs="Deutsche Bank Text"/>
        </w:rPr>
        <w:t>”</w:t>
      </w:r>
      <w:r w:rsidR="00654A86">
        <w:rPr>
          <w:rFonts w:ascii="Deutsche Bank Text" w:hAnsi="Deutsche Bank Text" w:cs="Deutsche Bank Text"/>
        </w:rPr>
        <w:t xml:space="preserve"> or “we”</w:t>
      </w:r>
      <w:r w:rsidRPr="00120104">
        <w:rPr>
          <w:rFonts w:ascii="Deutsche Bank Text" w:hAnsi="Deutsche Bank Text" w:cs="Deutsche Bank Text"/>
        </w:rPr>
        <w:t xml:space="preserve">) may be required to provide you a daily mark (the “Daily Mark”) for each uncleared swap transaction (each, a “Swap Transaction”) or security-based swap transaction (each, an “SBS Transaction”, and together with each Swap Transaction, a “Transaction”) it enters into with you, and </w:t>
      </w:r>
      <w:r w:rsidR="00AF7A84">
        <w:rPr>
          <w:rFonts w:ascii="Deutsche Bank Text" w:hAnsi="Deutsche Bank Text" w:cs="Deutsche Bank Text"/>
        </w:rPr>
        <w:t xml:space="preserve">may be required </w:t>
      </w:r>
      <w:r w:rsidRPr="00120104">
        <w:rPr>
          <w:rFonts w:ascii="Deutsche Bank Text" w:hAnsi="Deutsche Bank Text" w:cs="Deutsche Bank Text"/>
        </w:rPr>
        <w:t>to disclose to you the data sources, methodology</w:t>
      </w:r>
      <w:r w:rsidR="00044B7C">
        <w:rPr>
          <w:rFonts w:ascii="Deutsche Bank Text" w:hAnsi="Deutsche Bank Text" w:cs="Deutsche Bank Text"/>
        </w:rPr>
        <w:t>,</w:t>
      </w:r>
      <w:r w:rsidRPr="00120104">
        <w:rPr>
          <w:rFonts w:ascii="Deutsche Bank Text" w:hAnsi="Deutsche Bank Text" w:cs="Deutsche Bank Text"/>
        </w:rPr>
        <w:t xml:space="preserve"> and assumptions used to prepare the Daily Mark. </w:t>
      </w:r>
    </w:p>
    <w:p w14:paraId="722404F7" w14:textId="77777777" w:rsidR="0020092D" w:rsidRPr="00120104" w:rsidRDefault="0020092D" w:rsidP="0020092D">
      <w:pPr>
        <w:jc w:val="both"/>
        <w:rPr>
          <w:rFonts w:ascii="Deutsche Bank Text" w:hAnsi="Deutsche Bank Text" w:cs="Deutsche Bank Text"/>
        </w:rPr>
      </w:pPr>
    </w:p>
    <w:p w14:paraId="2FB15460" w14:textId="18CAFDC9" w:rsidR="0020092D" w:rsidRPr="00120104" w:rsidRDefault="0020092D" w:rsidP="0057469C">
      <w:pPr>
        <w:ind w:firstLine="709"/>
        <w:jc w:val="both"/>
        <w:rPr>
          <w:rFonts w:ascii="Deutsche Bank Text" w:hAnsi="Deutsche Bank Text" w:cs="Deutsche Bank Text"/>
        </w:rPr>
      </w:pPr>
      <w:r w:rsidRPr="00120104">
        <w:rPr>
          <w:rFonts w:ascii="Deutsche Bank Text" w:hAnsi="Deutsche Bank Text" w:cs="Deutsche Bank Text"/>
        </w:rPr>
        <w:t xml:space="preserve">This document describes the data sources, methodologies and assumptions used to prepare the Daily Mark for the Transactions identified below. </w:t>
      </w:r>
    </w:p>
    <w:p w14:paraId="6C17E7E7" w14:textId="77777777" w:rsidR="00BD630F" w:rsidRPr="00120104" w:rsidRDefault="00BD630F" w:rsidP="0020092D">
      <w:pPr>
        <w:jc w:val="both"/>
        <w:rPr>
          <w:rFonts w:ascii="Deutsche Bank Text" w:hAnsi="Deutsche Bank Text" w:cs="Deutsche Bank Text"/>
        </w:rPr>
      </w:pPr>
    </w:p>
    <w:p w14:paraId="4B5AA2A0" w14:textId="26420923" w:rsidR="0020092D" w:rsidRPr="00120104" w:rsidRDefault="0020092D" w:rsidP="00D66CC5">
      <w:pPr>
        <w:ind w:firstLine="709"/>
        <w:jc w:val="both"/>
        <w:rPr>
          <w:rFonts w:ascii="Deutsche Bank Text" w:hAnsi="Deutsche Bank Text" w:cs="Deutsche Bank Text"/>
        </w:rPr>
      </w:pPr>
      <w:r w:rsidRPr="00120104">
        <w:rPr>
          <w:rFonts w:ascii="Deutsche Bank Text" w:hAnsi="Deutsche Bank Text" w:cs="Deutsche Bank Text"/>
        </w:rPr>
        <w:t>The delivery of the Daily Mark and the disclosure of the methodologies and assumptions described below are for the sole purpose of satisfying DB</w:t>
      </w:r>
      <w:r w:rsidR="00A372F6">
        <w:rPr>
          <w:rFonts w:ascii="Deutsche Bank Text" w:hAnsi="Deutsche Bank Text" w:cs="Deutsche Bank Text"/>
        </w:rPr>
        <w:t>AG</w:t>
      </w:r>
      <w:r w:rsidRPr="00120104">
        <w:rPr>
          <w:rFonts w:ascii="Deutsche Bank Text" w:hAnsi="Deutsche Bank Text" w:cs="Deutsche Bank Text"/>
        </w:rPr>
        <w:t xml:space="preserve">’s obligations to you under </w:t>
      </w:r>
      <w:r w:rsidR="00D66CC5">
        <w:rPr>
          <w:rFonts w:ascii="Deutsche Bank Text" w:hAnsi="Deutsche Bank Text" w:cs="Deutsche Bank Text"/>
        </w:rPr>
        <w:t xml:space="preserve">(a) </w:t>
      </w:r>
      <w:r w:rsidR="00E569F6">
        <w:rPr>
          <w:rFonts w:ascii="Deutsche Bank Text" w:hAnsi="Deutsche Bank Text" w:cs="Deutsche Bank Text"/>
        </w:rPr>
        <w:t xml:space="preserve">CFTC Regulation </w:t>
      </w:r>
      <w:r w:rsidRPr="00120104">
        <w:rPr>
          <w:rFonts w:ascii="Deutsche Bank Text" w:hAnsi="Deutsche Bank Text" w:cs="Deutsche Bank Text"/>
        </w:rPr>
        <w:t xml:space="preserve">§23.431(d) with respect to the Swap Transactions identified below and </w:t>
      </w:r>
      <w:r w:rsidR="00D66CC5">
        <w:rPr>
          <w:rFonts w:ascii="Deutsche Bank Text" w:hAnsi="Deutsche Bank Text" w:cs="Deutsche Bank Text"/>
        </w:rPr>
        <w:t xml:space="preserve">(b) </w:t>
      </w:r>
      <w:r w:rsidR="00E569F6">
        <w:rPr>
          <w:rFonts w:ascii="Deutsche Bank Text" w:hAnsi="Deutsche Bank Text" w:cs="Deutsche Bank Text"/>
        </w:rPr>
        <w:t xml:space="preserve">SEC Regulation </w:t>
      </w:r>
      <w:r w:rsidRPr="00120104">
        <w:rPr>
          <w:rFonts w:ascii="Deutsche Bank Text" w:hAnsi="Deutsche Bank Text" w:cs="Deutsche Bank Text"/>
        </w:rPr>
        <w:t>§240.15Fh-3(c)(2) with respect to the SBS Transactions identified below, and in each case, are provided by DB</w:t>
      </w:r>
      <w:r w:rsidR="00210FEA">
        <w:rPr>
          <w:rFonts w:ascii="Deutsche Bank Text" w:hAnsi="Deutsche Bank Text" w:cs="Deutsche Bank Text"/>
        </w:rPr>
        <w:t>AG</w:t>
      </w:r>
      <w:r w:rsidRPr="00120104">
        <w:rPr>
          <w:rFonts w:ascii="Deutsche Bank Text" w:hAnsi="Deutsche Bank Text" w:cs="Deutsche Bank Text"/>
        </w:rPr>
        <w:t xml:space="preserve"> as a counterparty to the Transaction with you. </w:t>
      </w:r>
    </w:p>
    <w:p w14:paraId="5E2DF565" w14:textId="77777777" w:rsidR="00BD630F" w:rsidRPr="00120104" w:rsidRDefault="00BD630F" w:rsidP="0020092D">
      <w:pPr>
        <w:jc w:val="both"/>
        <w:rPr>
          <w:rFonts w:ascii="Deutsche Bank Text" w:hAnsi="Deutsche Bank Text" w:cs="Deutsche Bank Text"/>
        </w:rPr>
      </w:pPr>
    </w:p>
    <w:p w14:paraId="339F4E20" w14:textId="4C1E975A" w:rsidR="0020092D" w:rsidRPr="00120104" w:rsidRDefault="0020092D" w:rsidP="00D66CC5">
      <w:pPr>
        <w:ind w:firstLine="709"/>
        <w:jc w:val="both"/>
        <w:rPr>
          <w:rFonts w:ascii="Deutsche Bank Text" w:hAnsi="Deutsche Bank Text" w:cs="Deutsche Bank Text"/>
        </w:rPr>
      </w:pPr>
      <w:r w:rsidRPr="00120104">
        <w:rPr>
          <w:rFonts w:ascii="Deutsche Bank Text" w:hAnsi="Deutsche Bank Text" w:cs="Deutsche Bank Text"/>
        </w:rPr>
        <w:t>You should not construe the content of this disclosure statement as legal, financial, tax, accounting</w:t>
      </w:r>
      <w:r w:rsidR="002B2F0E">
        <w:rPr>
          <w:rFonts w:ascii="Deutsche Bank Text" w:hAnsi="Deutsche Bank Text" w:cs="Deutsche Bank Text"/>
        </w:rPr>
        <w:t>,</w:t>
      </w:r>
      <w:r w:rsidRPr="00120104">
        <w:rPr>
          <w:rFonts w:ascii="Deutsche Bank Text" w:hAnsi="Deutsche Bank Text" w:cs="Deutsche Bank Text"/>
        </w:rPr>
        <w:t xml:space="preserve"> or other advice. More generally, unless expressly agreed in writing, we are not providing you with legal, financial, tax, accounting, or other advice in connection with any Transactions, and you should consult your own attorney, financial advisor, tax advisor</w:t>
      </w:r>
      <w:r w:rsidR="002B2F0E">
        <w:rPr>
          <w:rFonts w:ascii="Deutsche Bank Text" w:hAnsi="Deutsche Bank Text" w:cs="Deutsche Bank Text"/>
        </w:rPr>
        <w:t>,</w:t>
      </w:r>
      <w:r w:rsidRPr="00120104">
        <w:rPr>
          <w:rFonts w:ascii="Deutsche Bank Text" w:hAnsi="Deutsche Bank Text" w:cs="Deutsche Bank Text"/>
        </w:rPr>
        <w:t xml:space="preserve"> or accountant as to legal, financial, tax, accounting</w:t>
      </w:r>
      <w:r w:rsidR="002B2F0E">
        <w:rPr>
          <w:rFonts w:ascii="Deutsche Bank Text" w:hAnsi="Deutsche Bank Text" w:cs="Deutsche Bank Text"/>
        </w:rPr>
        <w:t>,</w:t>
      </w:r>
      <w:r w:rsidRPr="00120104">
        <w:rPr>
          <w:rFonts w:ascii="Deutsche Bank Text" w:hAnsi="Deutsche Bank Text" w:cs="Deutsche Bank Text"/>
        </w:rPr>
        <w:t xml:space="preserve"> and related matters concerning any Transactions, including the impact on your business and the requirements and results of conducting Transactions. </w:t>
      </w:r>
    </w:p>
    <w:p w14:paraId="0059505D" w14:textId="77777777" w:rsidR="00BD630F" w:rsidRPr="00120104" w:rsidRDefault="00BD630F" w:rsidP="0020092D">
      <w:pPr>
        <w:jc w:val="both"/>
        <w:rPr>
          <w:rFonts w:ascii="Deutsche Bank Text" w:hAnsi="Deutsche Bank Text" w:cs="Deutsche Bank Text"/>
        </w:rPr>
      </w:pPr>
    </w:p>
    <w:p w14:paraId="37C4C5BD" w14:textId="3065AECD" w:rsidR="0020092D" w:rsidRPr="00120104" w:rsidRDefault="0020092D" w:rsidP="0020092D">
      <w:pPr>
        <w:jc w:val="both"/>
        <w:rPr>
          <w:rFonts w:ascii="Deutsche Bank Text" w:hAnsi="Deutsche Bank Text" w:cs="Deutsche Bank Text"/>
        </w:rPr>
      </w:pPr>
      <w:r w:rsidRPr="00120104">
        <w:rPr>
          <w:rFonts w:ascii="Deutsche Bank Text" w:hAnsi="Deutsche Bank Text" w:cs="Deutsche Bank Text"/>
        </w:rPr>
        <w:t xml:space="preserve">NOTHING IN THIS DISCLOSURE STATEMENT AMENDS OR SUPERSEDES THE EXPRESS TERMS OF ANY TRANSACTION BETWEEN YOU AND US OR ANY RELATED GOVERNING DOCUMENTATION. </w:t>
      </w:r>
    </w:p>
    <w:p w14:paraId="5271D2ED" w14:textId="77777777" w:rsidR="00BD630F" w:rsidRPr="00120104" w:rsidRDefault="00BD630F" w:rsidP="0020092D">
      <w:pPr>
        <w:jc w:val="both"/>
        <w:rPr>
          <w:rFonts w:ascii="Deutsche Bank Text" w:hAnsi="Deutsche Bank Text" w:cs="Deutsche Bank Text"/>
        </w:rPr>
      </w:pPr>
    </w:p>
    <w:p w14:paraId="47BB4315" w14:textId="4CA12FF6" w:rsidR="0020092D" w:rsidRPr="00120104" w:rsidRDefault="0020092D" w:rsidP="00D66CC5">
      <w:pPr>
        <w:ind w:firstLine="709"/>
        <w:jc w:val="both"/>
        <w:rPr>
          <w:rFonts w:ascii="Deutsche Bank Text" w:hAnsi="Deutsche Bank Text" w:cs="Deutsche Bank Text"/>
        </w:rPr>
      </w:pPr>
      <w:r w:rsidRPr="00120104">
        <w:rPr>
          <w:rFonts w:ascii="Deutsche Bank Text" w:hAnsi="Deutsche Bank Text" w:cs="Deutsche Bank Text"/>
        </w:rPr>
        <w:t>A Daily Mark will not reflect the actual market price at which an offer would be made to purchase, sell, enter into, exercise, novate, unwind, terminate or settle a Transaction. Rather, it will represent a mathematical approximation of a market value as of a given date derived from data sources, proprietary models and methodologies based on certain assumptions regarding past, present and future market conditions or other factors, or from other sources of pricing information (e.g., third party quotes, prices on trading venues, or clearinghouse marks for comparable or interpolated Transactions). In our sole discretion, we may use a variety of models, data sources, methodologies and assumptions to prepare our Daily Mark, depending upon the type of Transaction, its characteristics, whether there is a liquid market, and other factors. DB</w:t>
      </w:r>
      <w:r w:rsidR="000D685E">
        <w:rPr>
          <w:rFonts w:ascii="Deutsche Bank Text" w:hAnsi="Deutsche Bank Text" w:cs="Deutsche Bank Text"/>
        </w:rPr>
        <w:t>AG</w:t>
      </w:r>
      <w:r w:rsidRPr="00120104">
        <w:rPr>
          <w:rFonts w:ascii="Deutsche Bank Text" w:hAnsi="Deutsche Bank Text" w:cs="Deutsche Bank Text"/>
        </w:rPr>
        <w:t xml:space="preserve"> reserves the right to alter, replace or vary our models, data sources methodologies, and assumptions from time to time, and shall promptly disclose any material changes to such models, data sources, methodology and assumptions during the term of the Transaction; provided that DB</w:t>
      </w:r>
      <w:r w:rsidR="002F524C">
        <w:rPr>
          <w:rFonts w:ascii="Deutsche Bank Text" w:hAnsi="Deutsche Bank Text" w:cs="Deutsche Bank Text"/>
        </w:rPr>
        <w:t>AG</w:t>
      </w:r>
      <w:r w:rsidRPr="00120104">
        <w:rPr>
          <w:rFonts w:ascii="Deutsche Bank Text" w:hAnsi="Deutsche Bank Text" w:cs="Deutsche Bank Text"/>
        </w:rPr>
        <w:t xml:space="preserve"> will not disclose any confidential, proprietary information about any model. </w:t>
      </w:r>
    </w:p>
    <w:p w14:paraId="5B223C75" w14:textId="77777777" w:rsidR="00C520E0" w:rsidRPr="00120104" w:rsidRDefault="00C520E0" w:rsidP="0020092D">
      <w:pPr>
        <w:jc w:val="both"/>
        <w:rPr>
          <w:rFonts w:ascii="Deutsche Bank Text" w:hAnsi="Deutsche Bank Text" w:cs="Deutsche Bank Text"/>
        </w:rPr>
      </w:pPr>
    </w:p>
    <w:p w14:paraId="3025C936" w14:textId="3EAEA705" w:rsidR="0020092D" w:rsidRPr="00120104" w:rsidRDefault="0020092D" w:rsidP="0057469C">
      <w:pPr>
        <w:ind w:firstLine="360"/>
        <w:jc w:val="both"/>
        <w:rPr>
          <w:rFonts w:ascii="Deutsche Bank Text" w:hAnsi="Deutsche Bank Text" w:cs="Deutsche Bank Text"/>
        </w:rPr>
      </w:pPr>
      <w:r w:rsidRPr="00120104">
        <w:rPr>
          <w:rFonts w:ascii="Deutsche Bank Text" w:hAnsi="Deutsche Bank Text" w:cs="Deutsche Bank Text"/>
        </w:rPr>
        <w:t>Please note that a Daily Mark DB</w:t>
      </w:r>
      <w:r w:rsidR="002F524C">
        <w:rPr>
          <w:rFonts w:ascii="Deutsche Bank Text" w:hAnsi="Deutsche Bank Text" w:cs="Deutsche Bank Text"/>
        </w:rPr>
        <w:t>AG</w:t>
      </w:r>
      <w:r w:rsidRPr="00120104">
        <w:rPr>
          <w:rFonts w:ascii="Deutsche Bank Text" w:hAnsi="Deutsche Bank Text" w:cs="Deutsche Bank Text"/>
        </w:rPr>
        <w:t xml:space="preserve"> provides to you for a Transaction </w:t>
      </w:r>
      <w:r w:rsidR="00316749">
        <w:rPr>
          <w:rFonts w:ascii="Deutsche Bank Text" w:hAnsi="Deutsche Bank Text" w:cs="Deutsche Bank Text"/>
        </w:rPr>
        <w:t xml:space="preserve">may be </w:t>
      </w:r>
      <w:r w:rsidR="00A122AE">
        <w:rPr>
          <w:rFonts w:ascii="Deutsche Bank Text" w:hAnsi="Deutsche Bank Text" w:cs="Deutsche Bank Text"/>
        </w:rPr>
        <w:t>an estimate</w:t>
      </w:r>
      <w:r w:rsidRPr="00120104">
        <w:rPr>
          <w:rFonts w:ascii="Deutsche Bank Text" w:hAnsi="Deutsche Bank Text" w:cs="Deutsche Bank Text"/>
        </w:rPr>
        <w:t xml:space="preserve"> and may not necessarily: </w:t>
      </w:r>
    </w:p>
    <w:p w14:paraId="4EC598C8" w14:textId="77777777" w:rsidR="00C520E0" w:rsidRPr="00120104" w:rsidRDefault="00C520E0" w:rsidP="0020092D">
      <w:pPr>
        <w:jc w:val="both"/>
        <w:rPr>
          <w:rFonts w:ascii="Deutsche Bank Text" w:hAnsi="Deutsche Bank Text" w:cs="Deutsche Bank Text"/>
        </w:rPr>
      </w:pPr>
    </w:p>
    <w:p w14:paraId="3359C8AD" w14:textId="650F65B0" w:rsidR="0020092D" w:rsidRPr="00120104" w:rsidRDefault="0020092D" w:rsidP="00E74B41">
      <w:pPr>
        <w:pStyle w:val="ListParagraph"/>
        <w:numPr>
          <w:ilvl w:val="0"/>
          <w:numId w:val="17"/>
        </w:numPr>
        <w:jc w:val="both"/>
        <w:rPr>
          <w:rFonts w:ascii="Deutsche Bank Text" w:hAnsi="Deutsche Bank Text" w:cs="Deutsche Bank Text"/>
          <w:sz w:val="20"/>
          <w:szCs w:val="20"/>
        </w:rPr>
      </w:pPr>
      <w:r w:rsidRPr="00120104">
        <w:rPr>
          <w:rFonts w:ascii="Deutsche Bank Text" w:hAnsi="Deutsche Bank Text" w:cs="Deutsche Bank Text"/>
          <w:sz w:val="20"/>
          <w:szCs w:val="20"/>
        </w:rPr>
        <w:t>be a price at which either DB</w:t>
      </w:r>
      <w:r w:rsidR="002F524C">
        <w:rPr>
          <w:rFonts w:ascii="Deutsche Bank Text" w:hAnsi="Deutsche Bank Text" w:cs="Deutsche Bank Text"/>
          <w:sz w:val="20"/>
          <w:szCs w:val="20"/>
        </w:rPr>
        <w:t>AG</w:t>
      </w:r>
      <w:r w:rsidRPr="00120104">
        <w:rPr>
          <w:rFonts w:ascii="Deutsche Bank Text" w:hAnsi="Deutsche Bank Text" w:cs="Deutsche Bank Text"/>
          <w:sz w:val="20"/>
          <w:szCs w:val="20"/>
        </w:rPr>
        <w:t xml:space="preserve"> or you would agree to replace or terminate the Transaction; </w:t>
      </w:r>
    </w:p>
    <w:p w14:paraId="0D0843D1" w14:textId="4C2E279C" w:rsidR="00C520E0" w:rsidRPr="00120104" w:rsidRDefault="0020092D" w:rsidP="00D358F4">
      <w:pPr>
        <w:pStyle w:val="ListParagraph"/>
        <w:numPr>
          <w:ilvl w:val="0"/>
          <w:numId w:val="17"/>
        </w:numPr>
        <w:jc w:val="both"/>
        <w:rPr>
          <w:rFonts w:ascii="Deutsche Bank Text" w:hAnsi="Deutsche Bank Text" w:cs="Deutsche Bank Text"/>
          <w:sz w:val="20"/>
          <w:szCs w:val="20"/>
        </w:rPr>
      </w:pPr>
      <w:r w:rsidRPr="00120104">
        <w:rPr>
          <w:rFonts w:ascii="Deutsche Bank Text" w:hAnsi="Deutsche Bank Text" w:cs="Deutsche Bank Text"/>
          <w:sz w:val="20"/>
          <w:szCs w:val="20"/>
        </w:rPr>
        <w:lastRenderedPageBreak/>
        <w:t>include adjustments you may need to make on your books and records or financial statements to account for your profits, credit reserves, hedging,</w:t>
      </w:r>
      <w:r w:rsidR="00C520E0" w:rsidRPr="00120104">
        <w:rPr>
          <w:rFonts w:ascii="Deutsche Bank Text" w:hAnsi="Deutsche Bank Text" w:cs="Deutsche Bank Text"/>
          <w:sz w:val="20"/>
          <w:szCs w:val="20"/>
        </w:rPr>
        <w:t xml:space="preserve"> </w:t>
      </w:r>
      <w:r w:rsidRPr="00120104">
        <w:rPr>
          <w:rFonts w:ascii="Deutsche Bank Text" w:hAnsi="Deutsche Bank Text" w:cs="Deutsche Bank Text"/>
          <w:sz w:val="20"/>
          <w:szCs w:val="20"/>
        </w:rPr>
        <w:t>funding, liquidity</w:t>
      </w:r>
      <w:r w:rsidR="002F524C">
        <w:rPr>
          <w:rFonts w:ascii="Deutsche Bank Text" w:hAnsi="Deutsche Bank Text" w:cs="Deutsche Bank Text"/>
          <w:sz w:val="20"/>
          <w:szCs w:val="20"/>
        </w:rPr>
        <w:t>,</w:t>
      </w:r>
      <w:r w:rsidRPr="00120104">
        <w:rPr>
          <w:rFonts w:ascii="Deutsche Bank Text" w:hAnsi="Deutsche Bank Text" w:cs="Deutsche Bank Text"/>
          <w:sz w:val="20"/>
          <w:szCs w:val="20"/>
        </w:rPr>
        <w:t xml:space="preserve"> or other costs in connection with the Transaction; </w:t>
      </w:r>
    </w:p>
    <w:p w14:paraId="5391AFC0" w14:textId="52FA85F0" w:rsidR="0020092D" w:rsidRPr="00120104" w:rsidRDefault="0020092D" w:rsidP="004613E3">
      <w:pPr>
        <w:pStyle w:val="ListParagraph"/>
        <w:numPr>
          <w:ilvl w:val="0"/>
          <w:numId w:val="17"/>
        </w:numPr>
        <w:jc w:val="both"/>
        <w:rPr>
          <w:rFonts w:ascii="Deutsche Bank Text" w:hAnsi="Deutsche Bank Text" w:cs="Deutsche Bank Text"/>
          <w:sz w:val="20"/>
          <w:szCs w:val="20"/>
        </w:rPr>
      </w:pPr>
      <w:r w:rsidRPr="00120104">
        <w:rPr>
          <w:rFonts w:ascii="Deutsche Bank Text" w:hAnsi="Deutsche Bank Text" w:cs="Deutsche Bank Text"/>
          <w:sz w:val="20"/>
          <w:szCs w:val="20"/>
        </w:rPr>
        <w:t xml:space="preserve">unless otherwise expressly agreed, be the basis for margin calls and maintenance of collateral; and </w:t>
      </w:r>
    </w:p>
    <w:p w14:paraId="171031D8" w14:textId="1530A96D" w:rsidR="0020092D" w:rsidRDefault="0020092D" w:rsidP="0020092D">
      <w:pPr>
        <w:pStyle w:val="ListParagraph"/>
        <w:numPr>
          <w:ilvl w:val="0"/>
          <w:numId w:val="17"/>
        </w:numPr>
        <w:jc w:val="both"/>
        <w:rPr>
          <w:rFonts w:ascii="Deutsche Bank Text" w:hAnsi="Deutsche Bank Text" w:cs="Deutsche Bank Text"/>
          <w:sz w:val="20"/>
          <w:szCs w:val="20"/>
        </w:rPr>
      </w:pPr>
      <w:r w:rsidRPr="00120104">
        <w:rPr>
          <w:rFonts w:ascii="Deutsche Bank Text" w:hAnsi="Deutsche Bank Text" w:cs="Deutsche Bank Text"/>
          <w:sz w:val="20"/>
          <w:szCs w:val="20"/>
        </w:rPr>
        <w:t xml:space="preserve">be the value of the Transaction that is marked on our books and records. </w:t>
      </w:r>
    </w:p>
    <w:p w14:paraId="4EE66D9C" w14:textId="77777777" w:rsidR="001C4DCB" w:rsidRDefault="001C4DCB" w:rsidP="001C4DCB">
      <w:pPr>
        <w:jc w:val="both"/>
        <w:rPr>
          <w:rFonts w:ascii="Deutsche Bank Text" w:hAnsi="Deutsche Bank Text" w:cs="Deutsche Bank Text"/>
        </w:rPr>
      </w:pPr>
    </w:p>
    <w:p w14:paraId="146A1EE1" w14:textId="1B6C2DAA" w:rsidR="001C4DCB" w:rsidRPr="00D66CC5" w:rsidRDefault="003743ED" w:rsidP="00D66CC5">
      <w:pPr>
        <w:ind w:firstLine="360"/>
        <w:jc w:val="both"/>
        <w:rPr>
          <w:rFonts w:ascii="Deutsche Bank Text" w:hAnsi="Deutsche Bank Text" w:cs="Deutsche Bank Text"/>
        </w:rPr>
      </w:pPr>
      <w:r>
        <w:rPr>
          <w:rFonts w:ascii="Deutsche Bank Text" w:hAnsi="Deutsche Bank Text" w:cs="Deutsche Bank Text"/>
        </w:rPr>
        <w:t xml:space="preserve">For </w:t>
      </w:r>
      <w:r w:rsidR="001C4DCB" w:rsidRPr="001C4DCB">
        <w:rPr>
          <w:rFonts w:ascii="Deutsche Bank Text" w:hAnsi="Deutsche Bank Text" w:cs="Deutsche Bank Text"/>
        </w:rPr>
        <w:t xml:space="preserve">Swap </w:t>
      </w:r>
      <w:r>
        <w:rPr>
          <w:rFonts w:ascii="Deutsche Bank Text" w:hAnsi="Deutsche Bank Text" w:cs="Deutsche Bank Text"/>
        </w:rPr>
        <w:t xml:space="preserve">Transactions </w:t>
      </w:r>
      <w:r w:rsidR="001C4DCB" w:rsidRPr="001C4DCB">
        <w:rPr>
          <w:rFonts w:ascii="Deutsche Bank Text" w:hAnsi="Deutsche Bank Text" w:cs="Deutsche Bank Text"/>
        </w:rPr>
        <w:t>subject to daily variation margin requirements, delivery or notice of variation margin</w:t>
      </w:r>
      <w:r w:rsidR="00F043BB">
        <w:rPr>
          <w:rFonts w:ascii="Deutsche Bank Text" w:hAnsi="Deutsche Bank Text" w:cs="Deutsche Bank Text"/>
        </w:rPr>
        <w:t xml:space="preserve"> </w:t>
      </w:r>
      <w:r w:rsidR="001C4DCB" w:rsidRPr="001C4DCB">
        <w:rPr>
          <w:rFonts w:ascii="Deutsche Bank Text" w:hAnsi="Deutsche Bank Text" w:cs="Deutsche Bank Text"/>
        </w:rPr>
        <w:t xml:space="preserve">satisfies the daily mark obligation and no separate </w:t>
      </w:r>
      <w:r w:rsidR="00E57B38">
        <w:rPr>
          <w:rFonts w:ascii="Deutsche Bank Text" w:hAnsi="Deutsche Bank Text" w:cs="Deutsche Bank Text"/>
        </w:rPr>
        <w:t xml:space="preserve">notice of the </w:t>
      </w:r>
      <w:r w:rsidR="001C4DCB" w:rsidRPr="001C4DCB">
        <w:rPr>
          <w:rFonts w:ascii="Deutsche Bank Text" w:hAnsi="Deutsche Bank Text" w:cs="Deutsche Bank Text"/>
        </w:rPr>
        <w:t xml:space="preserve">daily mark </w:t>
      </w:r>
      <w:r w:rsidR="00D66CC5">
        <w:rPr>
          <w:rFonts w:ascii="Deutsche Bank Text" w:hAnsi="Deutsche Bank Text" w:cs="Deutsche Bank Text"/>
        </w:rPr>
        <w:t>will be provided</w:t>
      </w:r>
      <w:r w:rsidR="001C4DCB" w:rsidRPr="001C4DCB">
        <w:rPr>
          <w:rFonts w:ascii="Deutsche Bank Text" w:hAnsi="Deutsche Bank Text" w:cs="Deutsche Bank Text"/>
        </w:rPr>
        <w:t>.</w:t>
      </w:r>
    </w:p>
    <w:p w14:paraId="39F73880" w14:textId="77777777" w:rsidR="00C520E0" w:rsidRPr="00120104" w:rsidRDefault="00C520E0" w:rsidP="0057469C">
      <w:pPr>
        <w:pStyle w:val="ListParagraph"/>
        <w:ind w:left="1418"/>
        <w:jc w:val="both"/>
        <w:rPr>
          <w:rFonts w:ascii="Deutsche Bank Text" w:hAnsi="Deutsche Bank Text" w:cs="Deutsche Bank Text"/>
          <w:sz w:val="20"/>
          <w:szCs w:val="20"/>
        </w:rPr>
      </w:pPr>
    </w:p>
    <w:p w14:paraId="63262772" w14:textId="53B73300" w:rsidR="0020092D" w:rsidRPr="00120104" w:rsidRDefault="0020092D" w:rsidP="0057469C">
      <w:pPr>
        <w:ind w:firstLine="360"/>
        <w:jc w:val="both"/>
        <w:rPr>
          <w:rFonts w:ascii="Deutsche Bank Text" w:hAnsi="Deutsche Bank Text" w:cs="Deutsche Bank Text"/>
        </w:rPr>
      </w:pPr>
      <w:r w:rsidRPr="00120104">
        <w:rPr>
          <w:rFonts w:ascii="Deutsche Bank Text" w:hAnsi="Deutsche Bank Text" w:cs="Deutsche Bank Text"/>
        </w:rPr>
        <w:t>We make no representations or warranties that the Daily Mark is suitable for complying with any financial or tax reporting obligation, determining net asset value, computing any tax liability or any other purpose, matters which you should discuss with your own financial, legal, tax, accounting</w:t>
      </w:r>
      <w:r w:rsidR="00CC63D6">
        <w:rPr>
          <w:rFonts w:ascii="Deutsche Bank Text" w:hAnsi="Deutsche Bank Text" w:cs="Deutsche Bank Text"/>
        </w:rPr>
        <w:t>,</w:t>
      </w:r>
      <w:r w:rsidRPr="00120104">
        <w:rPr>
          <w:rFonts w:ascii="Deutsche Bank Text" w:hAnsi="Deutsche Bank Text" w:cs="Deutsche Bank Text"/>
        </w:rPr>
        <w:t xml:space="preserve"> and other professional advisors and, except as otherwise agreed, we disclaim any liability for any such use or reliance thereon, whether losses or damages are direct, indirect, incidental or consequential, </w:t>
      </w:r>
    </w:p>
    <w:p w14:paraId="30446941" w14:textId="4627DABF" w:rsidR="0020092D" w:rsidRPr="00120104" w:rsidRDefault="0020092D" w:rsidP="0020092D">
      <w:pPr>
        <w:jc w:val="both"/>
        <w:rPr>
          <w:rFonts w:ascii="Deutsche Bank Text" w:hAnsi="Deutsche Bank Text" w:cs="Deutsche Bank Text"/>
        </w:rPr>
      </w:pPr>
      <w:r w:rsidRPr="00120104">
        <w:rPr>
          <w:rFonts w:ascii="Deutsche Bank Text" w:hAnsi="Deutsche Bank Text" w:cs="Deutsche Bank Text"/>
        </w:rPr>
        <w:t xml:space="preserve">even if we are advised of their possibility. We make no representations or warranties to you that the Daily Mark is the best prices available in the marketplace. You may wish to seek representative quotations from other participants in the relevant market to compare prices or to determine the intrinsic or current market value of a particular Transaction. </w:t>
      </w:r>
    </w:p>
    <w:p w14:paraId="4A7DA90A" w14:textId="77777777" w:rsidR="0057469C" w:rsidRPr="00120104" w:rsidRDefault="0057469C" w:rsidP="0020092D">
      <w:pPr>
        <w:jc w:val="both"/>
        <w:rPr>
          <w:rFonts w:ascii="Deutsche Bank Text" w:hAnsi="Deutsche Bank Text" w:cs="Deutsche Bank Text"/>
        </w:rPr>
      </w:pPr>
    </w:p>
    <w:p w14:paraId="6AD53EFE" w14:textId="5F6EC126" w:rsidR="0020092D" w:rsidRPr="00120104" w:rsidRDefault="0020092D" w:rsidP="0057469C">
      <w:pPr>
        <w:ind w:firstLine="709"/>
        <w:jc w:val="both"/>
        <w:rPr>
          <w:rFonts w:ascii="Deutsche Bank Text" w:hAnsi="Deutsche Bank Text" w:cs="Deutsche Bank Text"/>
        </w:rPr>
      </w:pPr>
      <w:r w:rsidRPr="00120104">
        <w:rPr>
          <w:rFonts w:ascii="Deutsche Bank Text" w:hAnsi="Deutsche Bank Text" w:cs="Deutsche Bank Text"/>
        </w:rPr>
        <w:t xml:space="preserve">You should also read this document together with the confirmation and/or other formal documentation setting forth the terms of each Transaction we have entered into with you. The Daily Mark is prepared for each Transaction based on the specific terms of that Transaction, with assumed amounts or values for currently unknown variables determined pursuant to the methodologies described below. </w:t>
      </w:r>
    </w:p>
    <w:p w14:paraId="6591759C" w14:textId="77777777" w:rsidR="0057469C" w:rsidRPr="00120104" w:rsidRDefault="0057469C" w:rsidP="0057469C">
      <w:pPr>
        <w:ind w:firstLine="709"/>
        <w:jc w:val="both"/>
        <w:rPr>
          <w:rFonts w:ascii="Deutsche Bank Text" w:hAnsi="Deutsche Bank Text" w:cs="Deutsche Bank Text"/>
        </w:rPr>
      </w:pPr>
    </w:p>
    <w:p w14:paraId="487E7217" w14:textId="1DC48CDF" w:rsidR="0020092D" w:rsidRPr="00120104" w:rsidRDefault="0020092D" w:rsidP="0057469C">
      <w:pPr>
        <w:ind w:firstLine="709"/>
        <w:jc w:val="both"/>
        <w:rPr>
          <w:rFonts w:ascii="Deutsche Bank Text" w:hAnsi="Deutsche Bank Text" w:cs="Deutsche Bank Text"/>
        </w:rPr>
      </w:pPr>
      <w:r w:rsidRPr="00120104">
        <w:rPr>
          <w:rFonts w:ascii="Deutsche Bank Text" w:hAnsi="Deutsche Bank Text" w:cs="Deutsche Bank Text"/>
        </w:rPr>
        <w:t>For many types of Transactions, the Daily Mark is a theoretical calculation of the net present value of future payments and deliveries under the Transaction. For future payments or deliveries, the amounts or values of which are currently known, DB</w:t>
      </w:r>
      <w:r w:rsidR="00143692">
        <w:rPr>
          <w:rFonts w:ascii="Deutsche Bank Text" w:hAnsi="Deutsche Bank Text" w:cs="Deutsche Bank Text"/>
        </w:rPr>
        <w:t>AG</w:t>
      </w:r>
      <w:r w:rsidRPr="00120104">
        <w:rPr>
          <w:rFonts w:ascii="Deutsche Bank Text" w:hAnsi="Deutsche Bank Text" w:cs="Deutsche Bank Text"/>
        </w:rPr>
        <w:t xml:space="preserve"> uses the actual amounts or values of such payments or deliveries in calculating the Daily Mark. For future payments or deliveries, the amounts or values of which are not currently known, or are not currently known in the relevant currency, or that are not certain to be required to be made, DB</w:t>
      </w:r>
      <w:r w:rsidR="00143692">
        <w:rPr>
          <w:rFonts w:ascii="Deutsche Bank Text" w:hAnsi="Deutsche Bank Text" w:cs="Deutsche Bank Text"/>
        </w:rPr>
        <w:t>AG</w:t>
      </w:r>
      <w:r w:rsidRPr="00120104">
        <w:rPr>
          <w:rFonts w:ascii="Deutsche Bank Text" w:hAnsi="Deutsche Bank Text" w:cs="Deutsche Bank Text"/>
        </w:rPr>
        <w:t xml:space="preserve"> calculates assumed amounts or values according to the methodologies described below. These methodologies vary by Transaction type and generally include: </w:t>
      </w:r>
    </w:p>
    <w:p w14:paraId="75597188" w14:textId="77777777" w:rsidR="00C729FE" w:rsidRPr="00120104" w:rsidRDefault="00C729FE" w:rsidP="00C729FE">
      <w:pPr>
        <w:jc w:val="both"/>
        <w:rPr>
          <w:rFonts w:ascii="Deutsche Bank Text" w:hAnsi="Deutsche Bank Text" w:cs="Deutsche Bank Text"/>
        </w:rPr>
      </w:pPr>
    </w:p>
    <w:p w14:paraId="23D4CF5A" w14:textId="7F078D50" w:rsidR="0020092D" w:rsidRPr="00120104" w:rsidRDefault="0020092D" w:rsidP="00917B4F">
      <w:pPr>
        <w:pStyle w:val="ListParagraph"/>
        <w:numPr>
          <w:ilvl w:val="0"/>
          <w:numId w:val="18"/>
        </w:numPr>
        <w:jc w:val="both"/>
        <w:rPr>
          <w:rFonts w:ascii="Deutsche Bank Text" w:hAnsi="Deutsche Bank Text" w:cs="Deutsche Bank Text"/>
          <w:sz w:val="20"/>
          <w:szCs w:val="20"/>
        </w:rPr>
      </w:pPr>
      <w:r w:rsidRPr="00120104">
        <w:rPr>
          <w:rFonts w:ascii="Deutsche Bank Text" w:hAnsi="Deutsche Bank Text" w:cs="Deutsche Bank Text"/>
          <w:sz w:val="20"/>
          <w:szCs w:val="20"/>
        </w:rPr>
        <w:t>Calculating a forward price, level, rate or value of each relevant Underlier (as hereinafter defined) based on the current market price, level or value of the Underlier and an appropriate rate curve</w:t>
      </w:r>
      <w:r w:rsidR="00513AFD">
        <w:rPr>
          <w:rStyle w:val="FootnoteReference"/>
          <w:rFonts w:ascii="Deutsche Bank Text" w:hAnsi="Deutsche Bank Text" w:cs="Deutsche Bank Text"/>
          <w:sz w:val="20"/>
          <w:szCs w:val="20"/>
        </w:rPr>
        <w:footnoteReference w:id="1"/>
      </w:r>
      <w:r w:rsidRPr="00120104">
        <w:rPr>
          <w:rFonts w:ascii="Deutsche Bank Text" w:hAnsi="Deutsche Bank Text" w:cs="Deutsche Bank Text"/>
          <w:sz w:val="20"/>
          <w:szCs w:val="20"/>
        </w:rPr>
        <w:t>, and assuming that the forward price, level, rate or value will be realized in the future (the “Forward Price Method”). “Underlier” means any rate (including interest and foreign exchange rates), currency, commodity, security, instrument of indebtedness, index, quantitative measure, occurrence or nonoccurrence of an event, or other financial or economic interest, or property of any kind, or any interest therein or based on the value thereof, in or by reference to which any payment or delivery under a Transaction is to be made or determined. For a Foreign Exchange Transaction, the relevant forward exchange rate will be calculated based on the current exchange rate and an appropriate rate curve for each of the Underliers.</w:t>
      </w:r>
    </w:p>
    <w:p w14:paraId="4DAF350D" w14:textId="77777777" w:rsidR="00C729FE" w:rsidRPr="00120104" w:rsidRDefault="00C729FE" w:rsidP="00C729FE">
      <w:pPr>
        <w:pStyle w:val="ListParagraph"/>
        <w:jc w:val="both"/>
        <w:rPr>
          <w:rFonts w:ascii="Deutsche Bank Text" w:hAnsi="Deutsche Bank Text" w:cs="Deutsche Bank Text"/>
          <w:sz w:val="20"/>
          <w:szCs w:val="20"/>
        </w:rPr>
      </w:pPr>
    </w:p>
    <w:p w14:paraId="41744DEF" w14:textId="73192050" w:rsidR="0020092D" w:rsidRPr="00120104" w:rsidRDefault="0020092D" w:rsidP="004C4E7E">
      <w:pPr>
        <w:pStyle w:val="ListParagraph"/>
        <w:numPr>
          <w:ilvl w:val="0"/>
          <w:numId w:val="18"/>
        </w:numPr>
        <w:jc w:val="both"/>
        <w:rPr>
          <w:rFonts w:ascii="Deutsche Bank Text" w:hAnsi="Deutsche Bank Text" w:cs="Deutsche Bank Text"/>
          <w:sz w:val="20"/>
          <w:szCs w:val="20"/>
        </w:rPr>
      </w:pPr>
      <w:r w:rsidRPr="00120104">
        <w:rPr>
          <w:rFonts w:ascii="Deutsche Bank Text" w:hAnsi="Deutsche Bank Text" w:cs="Deutsche Bank Text"/>
          <w:sz w:val="20"/>
          <w:szCs w:val="20"/>
        </w:rPr>
        <w:t xml:space="preserve">Estimating future payments or deliveries under the Transaction based on a proprietary model, which may be based on, or derived from, methodologies such as the Black-Scholes option pricing model, a Monte Carlo simulation, a SABR volatility model or other multi-factor </w:t>
      </w:r>
      <w:r w:rsidRPr="00120104">
        <w:rPr>
          <w:rFonts w:ascii="Deutsche Bank Text" w:hAnsi="Deutsche Bank Text" w:cs="Deutsche Bank Text"/>
          <w:sz w:val="20"/>
          <w:szCs w:val="20"/>
        </w:rPr>
        <w:lastRenderedPageBreak/>
        <w:t>methodologies, which in each case may be subject to proprietary modifications by DB</w:t>
      </w:r>
      <w:r w:rsidR="003E2AF5">
        <w:rPr>
          <w:rFonts w:ascii="Deutsche Bank Text" w:hAnsi="Deutsche Bank Text" w:cs="Deutsche Bank Text"/>
          <w:sz w:val="20"/>
          <w:szCs w:val="20"/>
        </w:rPr>
        <w:t>AG</w:t>
      </w:r>
      <w:r w:rsidRPr="00120104">
        <w:rPr>
          <w:rFonts w:ascii="Deutsche Bank Text" w:hAnsi="Deutsche Bank Text" w:cs="Deutsche Bank Text"/>
          <w:sz w:val="20"/>
          <w:szCs w:val="20"/>
        </w:rPr>
        <w:t xml:space="preserve"> (generally, the “Proprietary Model Method”). </w:t>
      </w:r>
    </w:p>
    <w:p w14:paraId="392818DC" w14:textId="77777777" w:rsidR="00406DF4" w:rsidRPr="00120104" w:rsidRDefault="00406DF4" w:rsidP="00406DF4">
      <w:pPr>
        <w:pStyle w:val="ListParagraph"/>
        <w:rPr>
          <w:rFonts w:ascii="Deutsche Bank Text" w:hAnsi="Deutsche Bank Text" w:cs="Deutsche Bank Text"/>
          <w:sz w:val="20"/>
          <w:szCs w:val="20"/>
        </w:rPr>
      </w:pPr>
    </w:p>
    <w:p w14:paraId="39F0E387" w14:textId="73E6AF10" w:rsidR="0020092D" w:rsidRPr="00120104" w:rsidRDefault="0020092D" w:rsidP="00AA5DE4">
      <w:pPr>
        <w:pStyle w:val="ListParagraph"/>
        <w:numPr>
          <w:ilvl w:val="1"/>
          <w:numId w:val="18"/>
        </w:numPr>
        <w:jc w:val="both"/>
        <w:rPr>
          <w:rFonts w:ascii="Deutsche Bank Text" w:hAnsi="Deutsche Bank Text" w:cs="Deutsche Bank Text"/>
          <w:sz w:val="20"/>
          <w:szCs w:val="20"/>
        </w:rPr>
      </w:pPr>
      <w:r w:rsidRPr="00120104">
        <w:rPr>
          <w:rFonts w:ascii="Deutsche Bank Text" w:hAnsi="Deutsche Bank Text" w:cs="Deutsche Bank Text"/>
          <w:sz w:val="20"/>
          <w:szCs w:val="20"/>
        </w:rPr>
        <w:t>For Transactions that have option-related elements, including swaptions and Transactions with a cap, collar, floor, knock-in, knock-out or range accrual feature, the model may incorporate, among other things, observable market inputs such as (A) the current market price, level, rate or value of each applicable Underlier (and where the Underlier is a swap, the factors that are relevant to the calculation of the Daily Mark for a Transaction of that type, as described below), (B) an implied volatility of each applicable Underlier derived from the observed price of market</w:t>
      </w:r>
      <w:r w:rsidR="005449D1" w:rsidRPr="00120104">
        <w:rPr>
          <w:rFonts w:ascii="Deutsche Bank Text" w:hAnsi="Deutsche Bank Text" w:cs="Deutsche Bank Text"/>
          <w:sz w:val="20"/>
          <w:szCs w:val="20"/>
        </w:rPr>
        <w:t>-</w:t>
      </w:r>
      <w:r w:rsidRPr="00120104">
        <w:rPr>
          <w:rFonts w:ascii="Deutsche Bank Text" w:hAnsi="Deutsche Bank Text" w:cs="Deutsche Bank Text"/>
          <w:sz w:val="20"/>
          <w:szCs w:val="20"/>
        </w:rPr>
        <w:t xml:space="preserve">traded instruments (given the application of an appropriate model and certain assumptions about the other inputs to that model and subject to the application of an interpolation methodology) and (C) an implied correlation among Underliers, between each applicable Underlier and another relevant price, level or value or among the volatilities of any of the foregoing derived from the observed price of market-traded instruments (given the application of an appropriate model and certain assumptions about the other inputs to that model and subject to the application of an interpolation methodology). For certain Transactions described below, although a methodology other than Proprietary Model Method is specified as the applicable methodology for calculating the Daily Mark, a Proprietary Model Method may be applied if the Transaction contains an option-related element. </w:t>
      </w:r>
    </w:p>
    <w:p w14:paraId="4D41F3D3" w14:textId="331E4ADC" w:rsidR="00782FD8" w:rsidRPr="00120104" w:rsidRDefault="00782FD8" w:rsidP="00782FD8">
      <w:pPr>
        <w:pStyle w:val="ListParagraph"/>
        <w:ind w:left="1440"/>
        <w:jc w:val="both"/>
        <w:rPr>
          <w:rFonts w:ascii="Deutsche Bank Text" w:hAnsi="Deutsche Bank Text" w:cs="Deutsche Bank Text"/>
          <w:sz w:val="20"/>
          <w:szCs w:val="20"/>
        </w:rPr>
      </w:pPr>
    </w:p>
    <w:p w14:paraId="4A28C9FF" w14:textId="6372B4FA" w:rsidR="0020092D" w:rsidRPr="00120104" w:rsidRDefault="0020092D" w:rsidP="008344DC">
      <w:pPr>
        <w:pStyle w:val="ListParagraph"/>
        <w:numPr>
          <w:ilvl w:val="1"/>
          <w:numId w:val="18"/>
        </w:numPr>
        <w:jc w:val="both"/>
        <w:rPr>
          <w:rFonts w:ascii="Deutsche Bank Text" w:hAnsi="Deutsche Bank Text" w:cs="Deutsche Bank Text"/>
          <w:sz w:val="20"/>
          <w:szCs w:val="20"/>
        </w:rPr>
      </w:pPr>
      <w:r w:rsidRPr="00120104">
        <w:rPr>
          <w:rFonts w:ascii="Deutsche Bank Text" w:hAnsi="Deutsche Bank Text" w:cs="Deutsche Bank Text"/>
          <w:sz w:val="20"/>
          <w:szCs w:val="20"/>
        </w:rPr>
        <w:t>For certain Transactions, DB</w:t>
      </w:r>
      <w:r w:rsidR="00722924">
        <w:rPr>
          <w:rFonts w:ascii="Deutsche Bank Text" w:hAnsi="Deutsche Bank Text" w:cs="Deutsche Bank Text"/>
          <w:sz w:val="20"/>
          <w:szCs w:val="20"/>
        </w:rPr>
        <w:t>AG</w:t>
      </w:r>
      <w:r w:rsidRPr="00120104">
        <w:rPr>
          <w:rFonts w:ascii="Deutsche Bank Text" w:hAnsi="Deutsche Bank Text" w:cs="Deutsche Bank Text"/>
          <w:sz w:val="20"/>
          <w:szCs w:val="20"/>
        </w:rPr>
        <w:t xml:space="preserve"> assumes that the future price, level, rate or value of each applicable Underlier will be equal to the price, level, rate or value that is implied in the observed price of market-traded instruments given the application of an appropriate model and certain assumptions about the other inputs to that model (the “Implied Value Method”). Where the exercise prices and maturities of the relevant instruments do not match the exercise price of the Transaction or the date of the applicable future payment or delivery, DB</w:t>
      </w:r>
      <w:r w:rsidR="003E2AF5">
        <w:rPr>
          <w:rFonts w:ascii="Deutsche Bank Text" w:hAnsi="Deutsche Bank Text" w:cs="Deutsche Bank Text"/>
          <w:sz w:val="20"/>
          <w:szCs w:val="20"/>
        </w:rPr>
        <w:t>AG</w:t>
      </w:r>
      <w:r w:rsidRPr="00120104">
        <w:rPr>
          <w:rFonts w:ascii="Deutsche Bank Text" w:hAnsi="Deutsche Bank Text" w:cs="Deutsche Bank Text"/>
          <w:sz w:val="20"/>
          <w:szCs w:val="20"/>
        </w:rPr>
        <w:t xml:space="preserve"> will apply an interpolation methodology. </w:t>
      </w:r>
    </w:p>
    <w:p w14:paraId="5A83F33F" w14:textId="77777777" w:rsidR="00782FD8" w:rsidRPr="00120104" w:rsidRDefault="00782FD8" w:rsidP="00782FD8">
      <w:pPr>
        <w:pStyle w:val="ListParagraph"/>
        <w:rPr>
          <w:rFonts w:ascii="Deutsche Bank Text" w:hAnsi="Deutsche Bank Text" w:cs="Deutsche Bank Text"/>
          <w:sz w:val="20"/>
          <w:szCs w:val="20"/>
        </w:rPr>
      </w:pPr>
    </w:p>
    <w:p w14:paraId="5CDF915E" w14:textId="69B5AECC" w:rsidR="0020092D" w:rsidRPr="00120104" w:rsidRDefault="0020092D" w:rsidP="0061402D">
      <w:pPr>
        <w:pStyle w:val="ListParagraph"/>
        <w:numPr>
          <w:ilvl w:val="1"/>
          <w:numId w:val="18"/>
        </w:numPr>
        <w:jc w:val="both"/>
        <w:rPr>
          <w:rFonts w:ascii="Deutsche Bank Text" w:hAnsi="Deutsche Bank Text" w:cs="Deutsche Bank Text"/>
          <w:sz w:val="20"/>
          <w:szCs w:val="20"/>
        </w:rPr>
      </w:pPr>
      <w:r w:rsidRPr="00120104">
        <w:rPr>
          <w:rFonts w:ascii="Deutsche Bank Text" w:hAnsi="Deutsche Bank Text" w:cs="Deutsche Bank Text"/>
          <w:sz w:val="20"/>
          <w:szCs w:val="20"/>
        </w:rPr>
        <w:t>For certain Credit Transactions, DB</w:t>
      </w:r>
      <w:r w:rsidR="00722924">
        <w:rPr>
          <w:rFonts w:ascii="Deutsche Bank Text" w:hAnsi="Deutsche Bank Text" w:cs="Deutsche Bank Text"/>
          <w:sz w:val="20"/>
          <w:szCs w:val="20"/>
        </w:rPr>
        <w:t>AG</w:t>
      </w:r>
      <w:r w:rsidRPr="00120104">
        <w:rPr>
          <w:rFonts w:ascii="Deutsche Bank Text" w:hAnsi="Deutsche Bank Text" w:cs="Deutsche Bank Text"/>
          <w:sz w:val="20"/>
          <w:szCs w:val="20"/>
        </w:rPr>
        <w:t xml:space="preserve"> will calculate a probability-weighted amount or value for unknown future payments or deliveries by estimating (A) the likelihood that the future payment or delivery will be required to be made based on the probability of default implied in the market price of comparable swaps on the applicable index</w:t>
      </w:r>
      <w:r w:rsidR="00D42252">
        <w:rPr>
          <w:rStyle w:val="FootnoteReference"/>
          <w:rFonts w:ascii="Deutsche Bank Text" w:hAnsi="Deutsche Bank Text" w:cs="Deutsche Bank Text"/>
          <w:sz w:val="20"/>
          <w:szCs w:val="20"/>
        </w:rPr>
        <w:footnoteReference w:id="2"/>
      </w:r>
      <w:r w:rsidR="005F7BDD" w:rsidRPr="00120104">
        <w:rPr>
          <w:rFonts w:ascii="Deutsche Bank Text" w:hAnsi="Deutsche Bank Text" w:cs="Deutsche Bank Text"/>
          <w:sz w:val="20"/>
          <w:szCs w:val="20"/>
        </w:rPr>
        <w:t xml:space="preserve"> </w:t>
      </w:r>
      <w:r w:rsidRPr="00120104">
        <w:rPr>
          <w:rFonts w:ascii="Deutsche Bank Text" w:hAnsi="Deutsche Bank Text" w:cs="Deutsche Bank Text"/>
          <w:sz w:val="20"/>
          <w:szCs w:val="20"/>
        </w:rPr>
        <w:t>(given the assumption about recovery described in clause (B)) and (B) the recovery amount upon a default based on the average of the recovery rates for each Reference Entity underlying the applicable index, as estimated by DB</w:t>
      </w:r>
      <w:r w:rsidR="003E2AF5">
        <w:rPr>
          <w:rFonts w:ascii="Deutsche Bank Text" w:hAnsi="Deutsche Bank Text" w:cs="Deutsche Bank Text"/>
          <w:sz w:val="20"/>
          <w:szCs w:val="20"/>
        </w:rPr>
        <w:t>AG</w:t>
      </w:r>
      <w:r w:rsidRPr="00120104">
        <w:rPr>
          <w:rFonts w:ascii="Deutsche Bank Text" w:hAnsi="Deutsche Bank Text" w:cs="Deutsche Bank Text"/>
          <w:sz w:val="20"/>
          <w:szCs w:val="20"/>
        </w:rPr>
        <w:t xml:space="preserve"> (the “CDS Method”). </w:t>
      </w:r>
    </w:p>
    <w:p w14:paraId="0489C9E7" w14:textId="77777777" w:rsidR="005F7BDD" w:rsidRPr="00120104" w:rsidRDefault="005F7BDD" w:rsidP="005F7BDD">
      <w:pPr>
        <w:pStyle w:val="ListParagraph"/>
        <w:rPr>
          <w:rFonts w:ascii="Deutsche Bank Text" w:hAnsi="Deutsche Bank Text" w:cs="Deutsche Bank Text"/>
          <w:sz w:val="20"/>
          <w:szCs w:val="20"/>
        </w:rPr>
      </w:pPr>
    </w:p>
    <w:p w14:paraId="1E2C7832" w14:textId="32B1EFCD" w:rsidR="007E1D0A" w:rsidRPr="00120104" w:rsidRDefault="007E1D0A" w:rsidP="007E1D0A">
      <w:pPr>
        <w:ind w:firstLine="709"/>
        <w:jc w:val="both"/>
        <w:rPr>
          <w:rFonts w:ascii="Deutsche Bank Text" w:hAnsi="Deutsche Bank Text" w:cs="Deutsche Bank Text"/>
        </w:rPr>
      </w:pPr>
      <w:r w:rsidRPr="00120104">
        <w:rPr>
          <w:rFonts w:ascii="Deutsche Bank Text" w:hAnsi="Deutsche Bank Text" w:cs="Deutsche Bank Text"/>
        </w:rPr>
        <w:t>In the calculation of the Daily Mark, the assumed future payment amounts or delivery values, along with future payment amounts and delivery values that are known with certainty, are discounted to their present value using discount rates derived from a proprietary discount curve constructed by DB</w:t>
      </w:r>
      <w:r w:rsidR="00722924">
        <w:rPr>
          <w:rFonts w:ascii="Deutsche Bank Text" w:hAnsi="Deutsche Bank Text" w:cs="Deutsche Bank Text"/>
        </w:rPr>
        <w:t>AG</w:t>
      </w:r>
      <w:r w:rsidRPr="00120104">
        <w:rPr>
          <w:rFonts w:ascii="Deutsche Bank Text" w:hAnsi="Deutsche Bank Text" w:cs="Deutsche Bank Text"/>
        </w:rPr>
        <w:t xml:space="preserve"> (unless otherwise indicated). The discount curve is constructed based on (i) interest rates published for specified periods by information vendors, (ii) implied interest rates derived from the published settlement prices of futures or other market-traded instruments and (iii) the mean of bid and offer quotes for interest rate swaps (or cross-currency basis swaps, in the case of interest rates in a non-U.S. currency) available in the market for available maturities, in each case subject to adjustment and interpolation by DB</w:t>
      </w:r>
      <w:r w:rsidR="00722924">
        <w:rPr>
          <w:rFonts w:ascii="Deutsche Bank Text" w:hAnsi="Deutsche Bank Text" w:cs="Deutsche Bank Text"/>
        </w:rPr>
        <w:t>AG</w:t>
      </w:r>
      <w:r w:rsidRPr="00120104">
        <w:rPr>
          <w:rFonts w:ascii="Deutsche Bank Text" w:hAnsi="Deutsche Bank Text" w:cs="Deutsche Bank Text"/>
        </w:rPr>
        <w:t>. The interest rates underlying the DB</w:t>
      </w:r>
      <w:r w:rsidR="00722924">
        <w:rPr>
          <w:rFonts w:ascii="Deutsche Bank Text" w:hAnsi="Deutsche Bank Text" w:cs="Deutsche Bank Text"/>
        </w:rPr>
        <w:t>AG</w:t>
      </w:r>
      <w:r w:rsidRPr="00120104">
        <w:rPr>
          <w:rFonts w:ascii="Deutsche Bank Text" w:hAnsi="Deutsche Bank Text" w:cs="Deutsche Bank Text"/>
        </w:rPr>
        <w:t xml:space="preserve"> proprietary discount curve will be based on </w:t>
      </w:r>
      <w:r w:rsidR="00722924">
        <w:rPr>
          <w:rFonts w:ascii="Deutsche Bank Text" w:hAnsi="Deutsche Bank Text" w:cs="Deutsche Bank Text"/>
        </w:rPr>
        <w:t>SOFR, SONIA</w:t>
      </w:r>
      <w:r w:rsidR="0005255B">
        <w:rPr>
          <w:rFonts w:ascii="Deutsche Bank Text" w:hAnsi="Deutsche Bank Text" w:cs="Deutsche Bank Text"/>
        </w:rPr>
        <w:t>,</w:t>
      </w:r>
      <w:r w:rsidR="0037664A">
        <w:rPr>
          <w:rFonts w:ascii="Deutsche Bank Text" w:hAnsi="Deutsche Bank Text" w:cs="Deutsche Bank Text"/>
        </w:rPr>
        <w:t xml:space="preserve"> </w:t>
      </w:r>
      <w:r w:rsidRPr="00120104">
        <w:rPr>
          <w:rFonts w:ascii="Deutsche Bank Text" w:hAnsi="Deutsche Bank Text" w:cs="Deutsche Bank Text"/>
        </w:rPr>
        <w:t>or any replacement index determined by DB</w:t>
      </w:r>
      <w:r w:rsidR="0037664A">
        <w:rPr>
          <w:rFonts w:ascii="Deutsche Bank Text" w:hAnsi="Deutsche Bank Text" w:cs="Deutsche Bank Text"/>
        </w:rPr>
        <w:t>AG</w:t>
      </w:r>
      <w:r w:rsidRPr="00120104">
        <w:rPr>
          <w:rFonts w:ascii="Deutsche Bank Text" w:hAnsi="Deutsche Bank Text" w:cs="Deutsche Bank Text"/>
        </w:rPr>
        <w:t xml:space="preserve">), the U.S. </w:t>
      </w:r>
      <w:r w:rsidRPr="00120104">
        <w:rPr>
          <w:rFonts w:ascii="Deutsche Bank Text" w:hAnsi="Deutsche Bank Text" w:cs="Deutsche Bank Text"/>
        </w:rPr>
        <w:lastRenderedPageBreak/>
        <w:t>Dollar Overnight Indexed Swap rate and/or a comparable rate in an applicable non-U.S. currency. For some Transactions, the DB</w:t>
      </w:r>
      <w:r w:rsidR="0037664A">
        <w:rPr>
          <w:rFonts w:ascii="Deutsche Bank Text" w:hAnsi="Deutsche Bank Text" w:cs="Deutsche Bank Text"/>
        </w:rPr>
        <w:t>AG</w:t>
      </w:r>
      <w:r w:rsidRPr="00120104">
        <w:rPr>
          <w:rFonts w:ascii="Deutsche Bank Text" w:hAnsi="Deutsche Bank Text" w:cs="Deutsche Bank Text"/>
        </w:rPr>
        <w:t xml:space="preserve"> proprietary discount curve may reference the currency or currencies of eligible collateral and/or the currency of the Transaction. For information about the interest rate(s) underlying the discount curve for a specific Transaction, please contact DB</w:t>
      </w:r>
      <w:r w:rsidR="003E2AF5">
        <w:rPr>
          <w:rFonts w:ascii="Deutsche Bank Text" w:hAnsi="Deutsche Bank Text" w:cs="Deutsche Bank Text"/>
        </w:rPr>
        <w:t>AG</w:t>
      </w:r>
      <w:r w:rsidRPr="00120104">
        <w:rPr>
          <w:rFonts w:ascii="Deutsche Bank Text" w:hAnsi="Deutsche Bank Text" w:cs="Deutsche Bank Text"/>
        </w:rPr>
        <w:t xml:space="preserve"> at the contact information given below. The rate curves used to determine forward prices under the Forward Price Method are constructed in a manner similar to that in which the discount curve is constructed. For a given Transaction, the rate curve used to determine forward prices may or may not be the same curve as the discount curve used for discounting purposes.</w:t>
      </w:r>
      <w:r w:rsidR="00175C93">
        <w:rPr>
          <w:rStyle w:val="FootnoteReference"/>
          <w:rFonts w:ascii="Deutsche Bank Text" w:hAnsi="Deutsche Bank Text" w:cs="Deutsche Bank Text"/>
        </w:rPr>
        <w:footnoteReference w:id="3"/>
      </w:r>
      <w:r w:rsidRPr="00120104">
        <w:rPr>
          <w:rFonts w:ascii="Deutsche Bank Text" w:hAnsi="Deutsche Bank Text" w:cs="Deutsche Bank Text"/>
        </w:rPr>
        <w:t xml:space="preserve"> If the Daily Mark is calculated based on the Proprietary Model Method, the discount curve and/or rate curve may be incorporated into the applicable model. </w:t>
      </w:r>
    </w:p>
    <w:p w14:paraId="7E128C72" w14:textId="77777777" w:rsidR="007E1D0A" w:rsidRPr="00120104" w:rsidRDefault="007E1D0A" w:rsidP="007E1D0A">
      <w:pPr>
        <w:ind w:firstLine="709"/>
        <w:jc w:val="both"/>
        <w:rPr>
          <w:rFonts w:ascii="Deutsche Bank Text" w:hAnsi="Deutsche Bank Text" w:cs="Deutsche Bank Text"/>
        </w:rPr>
      </w:pPr>
    </w:p>
    <w:p w14:paraId="491EE9AB" w14:textId="26E80A90" w:rsidR="00D771BF" w:rsidRPr="00120104" w:rsidRDefault="007E1D0A" w:rsidP="007E1D0A">
      <w:pPr>
        <w:ind w:firstLine="709"/>
        <w:jc w:val="both"/>
        <w:rPr>
          <w:rFonts w:ascii="Deutsche Bank Text" w:hAnsi="Deutsche Bank Text" w:cs="Deutsche Bank Text"/>
        </w:rPr>
      </w:pPr>
      <w:r w:rsidRPr="00120104">
        <w:rPr>
          <w:rFonts w:ascii="Deutsche Bank Text" w:hAnsi="Deutsche Bank Text" w:cs="Deutsche Bank Text"/>
        </w:rPr>
        <w:t>Certain Transactions that are not primarily foreign exchange Transactions may have a foreign exchange component because the price, level or value of any Underlier in the Transaction may be denominated in a currency other than the settlement currency for the Transaction. For such Transactions (except as otherwise described below), the assumed amount or value for unknown future payments or deliveries will be determined according to the applicable methodology identified below, but adjusted according to a proprietary model that accounts for the uncertainty of the foreign exchange component of the payment based on a number of inputs, which may include the current forward exchange rate for the relevant currencies, a volatility of each applicable Underlier, a volatility of the forward exchange rate for the relevant currencies and a correlation between each applicable Underlier and the forward exchange rate for the relevant currencies</w:t>
      </w:r>
      <w:r w:rsidR="00104368">
        <w:rPr>
          <w:rFonts w:ascii="Deutsche Bank Text" w:hAnsi="Deutsche Bank Text" w:cs="Deutsche Bank Text"/>
        </w:rPr>
        <w:t>.</w:t>
      </w:r>
    </w:p>
    <w:p w14:paraId="26EEE0FC" w14:textId="77777777" w:rsidR="007E1D0A" w:rsidRPr="00120104" w:rsidRDefault="007E1D0A" w:rsidP="00495226">
      <w:pPr>
        <w:ind w:firstLine="709"/>
        <w:jc w:val="both"/>
        <w:rPr>
          <w:rFonts w:ascii="Deutsche Bank Text" w:hAnsi="Deutsche Bank Text" w:cs="Deutsche Bank Text"/>
        </w:rPr>
      </w:pPr>
    </w:p>
    <w:p w14:paraId="63DBA981" w14:textId="2EF32998" w:rsidR="00257677" w:rsidRPr="00120104" w:rsidRDefault="0020092D" w:rsidP="007E1D0A">
      <w:pPr>
        <w:ind w:firstLine="709"/>
        <w:jc w:val="both"/>
        <w:rPr>
          <w:rFonts w:ascii="Deutsche Bank Text" w:hAnsi="Deutsche Bank Text" w:cs="Deutsche Bank Text"/>
        </w:rPr>
      </w:pPr>
      <w:r w:rsidRPr="00120104">
        <w:rPr>
          <w:rFonts w:ascii="Deutsche Bank Text" w:hAnsi="Deutsche Bank Text" w:cs="Deutsche Bank Text"/>
        </w:rPr>
        <w:t>Where DB</w:t>
      </w:r>
      <w:r w:rsidR="003E2AF5">
        <w:rPr>
          <w:rFonts w:ascii="Deutsche Bank Text" w:hAnsi="Deutsche Bank Text" w:cs="Deutsche Bank Text"/>
        </w:rPr>
        <w:t>AG</w:t>
      </w:r>
      <w:r w:rsidRPr="00120104">
        <w:rPr>
          <w:rFonts w:ascii="Deutsche Bank Text" w:hAnsi="Deutsche Bank Text" w:cs="Deutsche Bank Text"/>
        </w:rPr>
        <w:t xml:space="preserve"> determines that a sufficiently liquid market exists, the Daily Mark may be based on observed market prices for instruments that are comparable to the Transaction rather than on the discounted present value of future payments.</w:t>
      </w:r>
      <w:r w:rsidR="007E1D0A" w:rsidRPr="00120104">
        <w:rPr>
          <w:rFonts w:ascii="Deutsche Bank Text" w:hAnsi="Deutsche Bank Text" w:cs="Deutsche Bank Text"/>
        </w:rPr>
        <w:t xml:space="preserve"> </w:t>
      </w:r>
    </w:p>
    <w:p w14:paraId="6C75322C" w14:textId="77777777" w:rsidR="00257677" w:rsidRPr="00120104" w:rsidRDefault="00257677" w:rsidP="007E1D0A">
      <w:pPr>
        <w:ind w:firstLine="709"/>
        <w:jc w:val="both"/>
        <w:rPr>
          <w:rFonts w:ascii="Deutsche Bank Text" w:hAnsi="Deutsche Bank Text" w:cs="Deutsche Bank Text"/>
        </w:rPr>
      </w:pPr>
    </w:p>
    <w:p w14:paraId="704C35F4" w14:textId="2F184838" w:rsidR="00AC4CAB" w:rsidRPr="00120104" w:rsidRDefault="0020092D" w:rsidP="007E1D0A">
      <w:pPr>
        <w:ind w:firstLine="709"/>
        <w:jc w:val="both"/>
        <w:rPr>
          <w:rFonts w:ascii="Deutsche Bank Text" w:hAnsi="Deutsche Bank Text" w:cs="Deutsche Bank Text"/>
        </w:rPr>
      </w:pPr>
      <w:r w:rsidRPr="00120104">
        <w:rPr>
          <w:rFonts w:ascii="Deutsche Bank Text" w:hAnsi="Deutsche Bank Text" w:cs="Deutsche Bank Text"/>
        </w:rPr>
        <w:t>Unless otherwise agreed between the parties, the Daily Mark provided on a given day will be calculated by DB</w:t>
      </w:r>
      <w:r w:rsidR="0005255B">
        <w:rPr>
          <w:rFonts w:ascii="Deutsche Bank Text" w:hAnsi="Deutsche Bank Text" w:cs="Deutsche Bank Text"/>
        </w:rPr>
        <w:t>AG</w:t>
      </w:r>
      <w:r w:rsidRPr="00120104">
        <w:rPr>
          <w:rFonts w:ascii="Deutsche Bank Text" w:hAnsi="Deutsche Bank Text" w:cs="Deutsche Bank Text"/>
        </w:rPr>
        <w:t xml:space="preserve"> as of the close of business on the prior business day in the DB</w:t>
      </w:r>
      <w:r w:rsidR="0005255B">
        <w:rPr>
          <w:rFonts w:ascii="Deutsche Bank Text" w:hAnsi="Deutsche Bank Text" w:cs="Deutsche Bank Text"/>
        </w:rPr>
        <w:t>AG</w:t>
      </w:r>
      <w:r w:rsidRPr="00120104">
        <w:rPr>
          <w:rFonts w:ascii="Deutsche Bank Text" w:hAnsi="Deutsche Bank Text" w:cs="Deutsche Bank Text"/>
        </w:rPr>
        <w:t xml:space="preserve"> office in which the Transaction is booked (the “Calculation Date”).</w:t>
      </w:r>
    </w:p>
    <w:p w14:paraId="517C7D87" w14:textId="77777777" w:rsidR="00AC4CAB" w:rsidRPr="00120104" w:rsidRDefault="00AC4CAB" w:rsidP="007E1D0A">
      <w:pPr>
        <w:ind w:firstLine="709"/>
        <w:jc w:val="both"/>
        <w:rPr>
          <w:rFonts w:ascii="Deutsche Bank Text" w:hAnsi="Deutsche Bank Text" w:cs="Deutsche Bank Text"/>
        </w:rPr>
      </w:pPr>
    </w:p>
    <w:p w14:paraId="6BA901EF" w14:textId="486DF181" w:rsidR="00AC4CAB" w:rsidRPr="00120104" w:rsidRDefault="0020092D" w:rsidP="007E1D0A">
      <w:pPr>
        <w:ind w:firstLine="709"/>
        <w:jc w:val="both"/>
        <w:rPr>
          <w:rFonts w:ascii="Deutsche Bank Text" w:hAnsi="Deutsche Bank Text" w:cs="Deutsche Bank Text"/>
        </w:rPr>
      </w:pPr>
      <w:r w:rsidRPr="00120104">
        <w:rPr>
          <w:rFonts w:ascii="Deutsche Bank Text" w:hAnsi="Deutsche Bank Text" w:cs="Deutsche Bank Text"/>
        </w:rPr>
        <w:t>The methodologies used to calculate the Daily Mark may be based on simplified models that may not reflect all potentially significant factors that could affect a Transaction’s value, such as market risk, liquidity risk and credit risk as well as hedging and other costs. DB</w:t>
      </w:r>
      <w:r w:rsidR="0005255B">
        <w:rPr>
          <w:rFonts w:ascii="Deutsche Bank Text" w:hAnsi="Deutsche Bank Text" w:cs="Deutsche Bank Text"/>
        </w:rPr>
        <w:t>AG</w:t>
      </w:r>
      <w:r w:rsidRPr="00120104">
        <w:rPr>
          <w:rFonts w:ascii="Deutsche Bank Text" w:hAnsi="Deutsche Bank Text" w:cs="Deutsche Bank Text"/>
        </w:rPr>
        <w:t xml:space="preserve"> may use different methodologies or make valuation adjustments when determining prices at which DB</w:t>
      </w:r>
      <w:r w:rsidR="003E2AF5">
        <w:rPr>
          <w:rFonts w:ascii="Deutsche Bank Text" w:hAnsi="Deutsche Bank Text" w:cs="Deutsche Bank Text"/>
        </w:rPr>
        <w:t>AG</w:t>
      </w:r>
      <w:r w:rsidRPr="00120104">
        <w:rPr>
          <w:rFonts w:ascii="Deutsche Bank Text" w:hAnsi="Deutsche Bank Text" w:cs="Deutsche Bank Text"/>
        </w:rPr>
        <w:t xml:space="preserve"> is willing to trade, enter into, replace or terminate a Transaction, or when valuing its own inventory positions for its books and records. There will likely be a difference, which could be significant, between the Daily Mark for a Transaction and the level at which DB</w:t>
      </w:r>
      <w:r w:rsidR="0005255B">
        <w:rPr>
          <w:rFonts w:ascii="Deutsche Bank Text" w:hAnsi="Deutsche Bank Text" w:cs="Deutsche Bank Text"/>
        </w:rPr>
        <w:t>AG</w:t>
      </w:r>
      <w:r w:rsidRPr="00120104">
        <w:rPr>
          <w:rFonts w:ascii="Deutsche Bank Text" w:hAnsi="Deutsche Bank Text" w:cs="Deutsche Bank Text"/>
        </w:rPr>
        <w:t>, any of its affiliates or any other market participant may agree to value, enter into, replace or terminate the Transaction. Certain features of the models and methodologies we use to prepare the Daily Mark are proprietary and confidential, and we are not required to disclose such proprietary or confidential information to you. The methodologies described below may not be appropriate for any particular purpose for which you may</w:t>
      </w:r>
      <w:r w:rsidR="007E1D0A" w:rsidRPr="00120104">
        <w:rPr>
          <w:rFonts w:ascii="Deutsche Bank Text" w:hAnsi="Deutsche Bank Text" w:cs="Deutsche Bank Text"/>
        </w:rPr>
        <w:t xml:space="preserve"> </w:t>
      </w:r>
      <w:r w:rsidRPr="00120104">
        <w:rPr>
          <w:rFonts w:ascii="Deutsche Bank Text" w:hAnsi="Deutsche Bank Text" w:cs="Deutsche Bank Text"/>
        </w:rPr>
        <w:t>use the Daily Mark, including your internal financial or accounting determinations.</w:t>
      </w:r>
      <w:r w:rsidR="007E1D0A" w:rsidRPr="00120104">
        <w:rPr>
          <w:rFonts w:ascii="Deutsche Bank Text" w:hAnsi="Deutsche Bank Text" w:cs="Deutsche Bank Text"/>
        </w:rPr>
        <w:t xml:space="preserve"> </w:t>
      </w:r>
    </w:p>
    <w:p w14:paraId="42EEC5F3" w14:textId="77777777" w:rsidR="00AC4CAB" w:rsidRPr="00120104" w:rsidRDefault="00AC4CAB" w:rsidP="007E1D0A">
      <w:pPr>
        <w:ind w:firstLine="709"/>
        <w:jc w:val="both"/>
        <w:rPr>
          <w:rFonts w:ascii="Deutsche Bank Text" w:hAnsi="Deutsche Bank Text" w:cs="Deutsche Bank Text"/>
        </w:rPr>
      </w:pPr>
    </w:p>
    <w:p w14:paraId="6D831339" w14:textId="502937AD" w:rsidR="0020092D" w:rsidRPr="00120104" w:rsidRDefault="0020092D" w:rsidP="007E1D0A">
      <w:pPr>
        <w:ind w:firstLine="709"/>
        <w:jc w:val="both"/>
        <w:rPr>
          <w:rFonts w:ascii="Deutsche Bank Text" w:hAnsi="Deutsche Bank Text" w:cs="Deutsche Bank Text"/>
          <w:b/>
          <w:bCs/>
          <w:i/>
          <w:iCs/>
        </w:rPr>
      </w:pPr>
      <w:r w:rsidRPr="00120104">
        <w:rPr>
          <w:rFonts w:ascii="Deutsche Bank Text" w:hAnsi="Deutsche Bank Text" w:cs="Deutsche Bank Text"/>
          <w:b/>
          <w:bCs/>
          <w:i/>
          <w:iCs/>
        </w:rPr>
        <w:t xml:space="preserve">Methodologies will change over time and, as they do, this document will be updated accordingly. If you have any questions, please contact </w:t>
      </w:r>
      <w:hyperlink r:id="rId11" w:history="1">
        <w:r w:rsidR="00257677" w:rsidRPr="00120104">
          <w:rPr>
            <w:rStyle w:val="Hyperlink"/>
            <w:rFonts w:ascii="Deutsche Bank Text" w:hAnsi="Deutsche Bank Text" w:cs="Deutsche Bank Text"/>
            <w:b/>
            <w:bCs/>
            <w:i/>
            <w:iCs/>
          </w:rPr>
          <w:t>df.protocol@db.com</w:t>
        </w:r>
      </w:hyperlink>
      <w:r w:rsidR="00257677" w:rsidRPr="00120104">
        <w:rPr>
          <w:rFonts w:ascii="Deutsche Bank Text" w:hAnsi="Deutsche Bank Text" w:cs="Deutsche Bank Text"/>
          <w:b/>
          <w:bCs/>
          <w:i/>
          <w:iCs/>
        </w:rPr>
        <w:t xml:space="preserve">. </w:t>
      </w:r>
      <w:r w:rsidRPr="00120104">
        <w:rPr>
          <w:rFonts w:ascii="Deutsche Bank Text" w:hAnsi="Deutsche Bank Text" w:cs="Deutsche Bank Text"/>
          <w:b/>
          <w:bCs/>
          <w:i/>
          <w:iCs/>
        </w:rPr>
        <w:t xml:space="preserve"> </w:t>
      </w:r>
    </w:p>
    <w:p w14:paraId="588572E2" w14:textId="77777777" w:rsidR="0020092D" w:rsidRPr="00120104" w:rsidRDefault="0020092D" w:rsidP="0020092D">
      <w:pPr>
        <w:jc w:val="both"/>
        <w:rPr>
          <w:rFonts w:ascii="Deutsche Bank Text" w:hAnsi="Deutsche Bank Text" w:cs="Deutsche Bank Text"/>
        </w:rPr>
      </w:pPr>
      <w:r w:rsidRPr="00120104">
        <w:rPr>
          <w:rFonts w:ascii="Deutsche Bank Text" w:hAnsi="Deutsche Bank Text" w:cs="Deutsche Bank Text"/>
        </w:rPr>
        <w:t xml:space="preserve"> </w:t>
      </w:r>
    </w:p>
    <w:p w14:paraId="45C9A3E6" w14:textId="5D2CE539" w:rsidR="0020092D" w:rsidRPr="00120104" w:rsidRDefault="0020092D" w:rsidP="00AC4CAB">
      <w:pPr>
        <w:ind w:firstLine="709"/>
        <w:jc w:val="center"/>
        <w:rPr>
          <w:rFonts w:ascii="Deutsche Bank Text" w:hAnsi="Deutsche Bank Text" w:cs="Deutsche Bank Text"/>
          <w:b/>
          <w:bCs/>
          <w:u w:val="single"/>
        </w:rPr>
      </w:pPr>
      <w:r w:rsidRPr="00120104">
        <w:rPr>
          <w:rFonts w:ascii="Deutsche Bank Text" w:hAnsi="Deutsche Bank Text" w:cs="Deutsche Bank Text"/>
          <w:b/>
          <w:bCs/>
          <w:u w:val="single"/>
        </w:rPr>
        <w:t>Specific Transaction Types by Underlier Asset Class</w:t>
      </w:r>
    </w:p>
    <w:p w14:paraId="4BE3F5EC" w14:textId="77777777" w:rsidR="00AC4CAB" w:rsidRPr="00120104" w:rsidRDefault="00AC4CAB" w:rsidP="0020092D">
      <w:pPr>
        <w:jc w:val="both"/>
        <w:rPr>
          <w:rFonts w:ascii="Deutsche Bank Text" w:hAnsi="Deutsche Bank Text" w:cs="Deutsche Bank Text"/>
        </w:rPr>
      </w:pPr>
    </w:p>
    <w:p w14:paraId="2CC55411" w14:textId="6D315025" w:rsidR="0020092D" w:rsidRPr="00120104" w:rsidRDefault="0020092D" w:rsidP="00AC4CAB">
      <w:pPr>
        <w:ind w:firstLine="709"/>
        <w:jc w:val="both"/>
        <w:rPr>
          <w:rFonts w:ascii="Deutsche Bank Text" w:hAnsi="Deutsche Bank Text" w:cs="Deutsche Bank Text"/>
        </w:rPr>
      </w:pPr>
      <w:r w:rsidRPr="00120104">
        <w:rPr>
          <w:rFonts w:ascii="Deutsche Bank Text" w:hAnsi="Deutsche Bank Text" w:cs="Deutsche Bank Text"/>
        </w:rPr>
        <w:t>For each Transaction type and Underlier asset class identified below, the following sections describe the methodology and inputs DB</w:t>
      </w:r>
      <w:r w:rsidR="003E2AF5">
        <w:rPr>
          <w:rFonts w:ascii="Deutsche Bank Text" w:hAnsi="Deutsche Bank Text" w:cs="Deutsche Bank Text"/>
        </w:rPr>
        <w:t>AG</w:t>
      </w:r>
      <w:r w:rsidRPr="00120104">
        <w:rPr>
          <w:rFonts w:ascii="Deutsche Bank Text" w:hAnsi="Deutsche Bank Text" w:cs="Deutsche Bank Text"/>
        </w:rPr>
        <w:t xml:space="preserve"> uses to prepare the Daily Mark. If the applicable methodology is Forward Price Method or Proprietary Model Method (including Implied Value </w:t>
      </w:r>
      <w:r w:rsidRPr="00120104">
        <w:rPr>
          <w:rFonts w:ascii="Deutsche Bank Text" w:hAnsi="Deutsche Bank Text" w:cs="Deutsche Bank Text"/>
        </w:rPr>
        <w:lastRenderedPageBreak/>
        <w:t>Method and CDS Method): (i) the description below identifies the relevant methodology and the key inputs that DB</w:t>
      </w:r>
      <w:r w:rsidR="003E2AF5">
        <w:rPr>
          <w:rFonts w:ascii="Deutsche Bank Text" w:hAnsi="Deutsche Bank Text" w:cs="Deutsche Bank Text"/>
        </w:rPr>
        <w:t>AG</w:t>
      </w:r>
      <w:r w:rsidRPr="00120104">
        <w:rPr>
          <w:rFonts w:ascii="Deutsche Bank Text" w:hAnsi="Deutsche Bank Text" w:cs="Deutsche Bank Text"/>
        </w:rPr>
        <w:t xml:space="preserve"> uses (together with the specific terms of the Transaction) to calculate assumed amounts or values for unknown future payments or deliveries under the Transaction, which amounts are discounted to present value as described above unless otherwise indicated; (ii) for any Transaction with two floating legs, one of which is based on a floating interest rate (the “financing leg”) and one of which is based on a non-interest rate Underlier, the methodology identified below is the methodology used to calculate assumed amounts or values for future payments or deliveries under the non-financing leg; and (iii) assumed amounts for unknown future payments under the financing leg of any Transaction are determined by calculating the forward rate for the relevant interest rate based on an appropriate rate curve. </w:t>
      </w:r>
    </w:p>
    <w:p w14:paraId="39E1FFB3" w14:textId="77777777" w:rsidR="00AC4CAB" w:rsidRPr="00120104" w:rsidRDefault="00AC4CAB" w:rsidP="00AC4CAB">
      <w:pPr>
        <w:ind w:firstLine="709"/>
        <w:jc w:val="both"/>
        <w:rPr>
          <w:rFonts w:ascii="Deutsche Bank Text" w:hAnsi="Deutsche Bank Text" w:cs="Deutsche Bank Text"/>
        </w:rPr>
      </w:pPr>
    </w:p>
    <w:p w14:paraId="2936D3D6" w14:textId="0454BDFD" w:rsidR="0020092D" w:rsidRPr="00120104" w:rsidRDefault="0020092D" w:rsidP="00E445B5">
      <w:pPr>
        <w:pStyle w:val="ListParagraph"/>
        <w:numPr>
          <w:ilvl w:val="0"/>
          <w:numId w:val="19"/>
        </w:numPr>
        <w:jc w:val="both"/>
        <w:rPr>
          <w:rFonts w:ascii="Deutsche Bank Text" w:hAnsi="Deutsche Bank Text" w:cs="Deutsche Bank Text"/>
          <w:sz w:val="20"/>
          <w:szCs w:val="20"/>
          <w:u w:val="single"/>
        </w:rPr>
      </w:pPr>
      <w:r w:rsidRPr="00120104">
        <w:rPr>
          <w:rFonts w:ascii="Deutsche Bank Text" w:hAnsi="Deutsche Bank Text" w:cs="Deutsche Bank Text"/>
          <w:sz w:val="20"/>
          <w:szCs w:val="20"/>
          <w:u w:val="single"/>
        </w:rPr>
        <w:t xml:space="preserve">Equity </w:t>
      </w:r>
    </w:p>
    <w:p w14:paraId="5984D4D6" w14:textId="77777777" w:rsidR="00404A0C" w:rsidRPr="00120104" w:rsidRDefault="00404A0C" w:rsidP="00E445B5">
      <w:pPr>
        <w:jc w:val="both"/>
        <w:rPr>
          <w:rFonts w:ascii="Deutsche Bank Text" w:hAnsi="Deutsche Bank Text" w:cs="Deutsche Bank Text"/>
        </w:rPr>
      </w:pPr>
    </w:p>
    <w:p w14:paraId="6848CE60" w14:textId="7F62A9FD" w:rsidR="0020092D" w:rsidRPr="00120104" w:rsidRDefault="0020092D" w:rsidP="00E445B5">
      <w:pPr>
        <w:pStyle w:val="ListParagraph"/>
        <w:numPr>
          <w:ilvl w:val="0"/>
          <w:numId w:val="20"/>
        </w:numPr>
        <w:jc w:val="both"/>
        <w:rPr>
          <w:rFonts w:ascii="Deutsche Bank Text" w:hAnsi="Deutsche Bank Text" w:cs="Deutsche Bank Text"/>
          <w:i/>
          <w:iCs/>
          <w:sz w:val="20"/>
          <w:szCs w:val="20"/>
        </w:rPr>
      </w:pPr>
      <w:r w:rsidRPr="00120104">
        <w:rPr>
          <w:rFonts w:ascii="Deutsche Bank Text" w:hAnsi="Deutsche Bank Text" w:cs="Deutsche Bank Text"/>
          <w:i/>
          <w:iCs/>
          <w:sz w:val="20"/>
          <w:szCs w:val="20"/>
        </w:rPr>
        <w:t>Daily Cancelable Swap</w:t>
      </w:r>
      <w:r w:rsidR="00E445B5">
        <w:rPr>
          <w:rStyle w:val="FootnoteReference"/>
          <w:rFonts w:ascii="Deutsche Bank Text" w:hAnsi="Deutsche Bank Text" w:cs="Deutsche Bank Text"/>
          <w:i/>
          <w:iCs/>
          <w:sz w:val="20"/>
          <w:szCs w:val="20"/>
        </w:rPr>
        <w:footnoteReference w:id="4"/>
      </w:r>
      <w:r w:rsidRPr="00120104">
        <w:rPr>
          <w:rFonts w:ascii="Deutsche Bank Text" w:hAnsi="Deutsche Bank Text" w:cs="Deutsche Bank Text"/>
          <w:i/>
          <w:iCs/>
          <w:sz w:val="20"/>
          <w:szCs w:val="20"/>
        </w:rPr>
        <w:t xml:space="preserve"> Referencing Equity Index or Security or Futures on Equity Index or Security </w:t>
      </w:r>
    </w:p>
    <w:p w14:paraId="017F4846" w14:textId="77777777" w:rsidR="00404A0C" w:rsidRPr="00120104" w:rsidRDefault="00404A0C" w:rsidP="00E445B5">
      <w:pPr>
        <w:pStyle w:val="ListParagraph"/>
        <w:jc w:val="both"/>
        <w:rPr>
          <w:rFonts w:ascii="Deutsche Bank Text" w:hAnsi="Deutsche Bank Text" w:cs="Deutsche Bank Text"/>
          <w:sz w:val="20"/>
          <w:szCs w:val="20"/>
        </w:rPr>
      </w:pPr>
    </w:p>
    <w:p w14:paraId="05940061" w14:textId="05100A17" w:rsidR="0020092D" w:rsidRPr="00120104" w:rsidRDefault="0020092D" w:rsidP="00E445B5">
      <w:pPr>
        <w:ind w:left="709"/>
        <w:jc w:val="both"/>
        <w:rPr>
          <w:rFonts w:ascii="Deutsche Bank Text" w:hAnsi="Deutsche Bank Text" w:cs="Deutsche Bank Text"/>
        </w:rPr>
      </w:pPr>
      <w:r w:rsidRPr="00120104">
        <w:rPr>
          <w:rFonts w:ascii="Deutsche Bank Text" w:hAnsi="Deutsche Bank Text" w:cs="Deutsche Bank Text"/>
        </w:rPr>
        <w:t xml:space="preserve">The Daily Mark is calculated based on the assumptions that the Transaction will be </w:t>
      </w:r>
      <w:r w:rsidR="00226FD5" w:rsidRPr="00120104">
        <w:rPr>
          <w:rFonts w:ascii="Deutsche Bank Text" w:hAnsi="Deutsche Bank Text" w:cs="Deutsche Bank Text"/>
        </w:rPr>
        <w:t>t</w:t>
      </w:r>
      <w:r w:rsidRPr="00120104">
        <w:rPr>
          <w:rFonts w:ascii="Deutsche Bank Text" w:hAnsi="Deutsche Bank Text" w:cs="Deutsche Bank Text"/>
        </w:rPr>
        <w:t>erminated on the earliest possible termination date following the Calculation Date and that the closing level or settlement price and any relevant rate of exchange between the currency in which the Underlier is denominated and the settlement currency of the Transaction, as applicable, of each applicable Underlier on the relevant valuation date will be equal to its most recent closing level, settlement price or applicable exchange rate as of the relevant calculation time. The Daily Mark will reflect an accrued amount denominated in the settlement currency, including accrued interest, excluding the assumed termination date.</w:t>
      </w:r>
    </w:p>
    <w:p w14:paraId="0F018452" w14:textId="7457638D" w:rsidR="00226FD5" w:rsidRPr="00120104" w:rsidRDefault="00226FD5" w:rsidP="00E445B5">
      <w:pPr>
        <w:pStyle w:val="ListParagraph"/>
        <w:jc w:val="both"/>
        <w:rPr>
          <w:rFonts w:ascii="Deutsche Bank Text" w:hAnsi="Deutsche Bank Text" w:cs="Deutsche Bank Text"/>
          <w:sz w:val="20"/>
          <w:szCs w:val="20"/>
        </w:rPr>
      </w:pPr>
    </w:p>
    <w:p w14:paraId="1E2479CA" w14:textId="25A069BF" w:rsidR="0020092D" w:rsidRPr="00120104" w:rsidRDefault="0020092D" w:rsidP="00E445B5">
      <w:pPr>
        <w:pStyle w:val="ListParagraph"/>
        <w:numPr>
          <w:ilvl w:val="0"/>
          <w:numId w:val="20"/>
        </w:numPr>
        <w:jc w:val="both"/>
        <w:rPr>
          <w:rFonts w:ascii="Deutsche Bank Text" w:hAnsi="Deutsche Bank Text" w:cs="Deutsche Bank Text"/>
          <w:i/>
          <w:iCs/>
          <w:sz w:val="20"/>
          <w:szCs w:val="20"/>
        </w:rPr>
      </w:pPr>
      <w:r w:rsidRPr="00120104">
        <w:rPr>
          <w:rFonts w:ascii="Deutsche Bank Text" w:hAnsi="Deutsche Bank Text" w:cs="Deutsche Bank Text"/>
          <w:i/>
          <w:iCs/>
          <w:sz w:val="20"/>
          <w:szCs w:val="20"/>
        </w:rPr>
        <w:t>Non-Cancelable Swap</w:t>
      </w:r>
      <w:r w:rsidR="00E51F08">
        <w:rPr>
          <w:rStyle w:val="FootnoteReference"/>
          <w:rFonts w:ascii="Deutsche Bank Text" w:hAnsi="Deutsche Bank Text" w:cs="Deutsche Bank Text"/>
          <w:i/>
          <w:iCs/>
          <w:sz w:val="20"/>
          <w:szCs w:val="20"/>
        </w:rPr>
        <w:footnoteReference w:id="5"/>
      </w:r>
      <w:r w:rsidRPr="00120104">
        <w:rPr>
          <w:rFonts w:ascii="Deutsche Bank Text" w:hAnsi="Deutsche Bank Text" w:cs="Deutsche Bank Text"/>
          <w:i/>
          <w:iCs/>
          <w:sz w:val="20"/>
          <w:szCs w:val="20"/>
        </w:rPr>
        <w:t xml:space="preserve"> Referencing Equity Index or Security or Futures on Equity Index or Security </w:t>
      </w:r>
    </w:p>
    <w:p w14:paraId="1903A3EA" w14:textId="77777777" w:rsidR="00ED2426" w:rsidRPr="00120104" w:rsidRDefault="00ED2426" w:rsidP="00E445B5">
      <w:pPr>
        <w:jc w:val="both"/>
        <w:rPr>
          <w:rFonts w:ascii="Deutsche Bank Text" w:hAnsi="Deutsche Bank Text" w:cs="Deutsche Bank Text"/>
        </w:rPr>
      </w:pPr>
    </w:p>
    <w:p w14:paraId="2DBAC6DF" w14:textId="0BD47AD6" w:rsidR="0020092D" w:rsidRPr="00120104" w:rsidRDefault="0020092D" w:rsidP="00E445B5">
      <w:pPr>
        <w:ind w:left="709"/>
        <w:jc w:val="both"/>
        <w:rPr>
          <w:rFonts w:ascii="Deutsche Bank Text" w:hAnsi="Deutsche Bank Text" w:cs="Deutsche Bank Text"/>
        </w:rPr>
      </w:pPr>
      <w:r w:rsidRPr="00120104">
        <w:rPr>
          <w:rFonts w:ascii="Deutsche Bank Text" w:hAnsi="Deutsche Bank Text" w:cs="Deutsche Bank Text"/>
        </w:rPr>
        <w:t>The Daily Mark is calculated based on the Forward Price Method. The forward level or price for each applicable Underlier is based on the most recent closing level or settlement price, as applicable, of the Underlier as of the Calculation Date and an appropriate rate curve.</w:t>
      </w:r>
    </w:p>
    <w:p w14:paraId="4CA4FAB7" w14:textId="77777777" w:rsidR="00ED2426" w:rsidRPr="00120104" w:rsidRDefault="00ED2426" w:rsidP="00E445B5">
      <w:pPr>
        <w:ind w:left="709"/>
        <w:jc w:val="both"/>
        <w:rPr>
          <w:rFonts w:ascii="Deutsche Bank Text" w:hAnsi="Deutsche Bank Text" w:cs="Deutsche Bank Text"/>
        </w:rPr>
      </w:pPr>
    </w:p>
    <w:p w14:paraId="5FA83C67" w14:textId="77777777" w:rsidR="007675CD" w:rsidRPr="00120104" w:rsidRDefault="0020092D" w:rsidP="00E445B5">
      <w:pPr>
        <w:pStyle w:val="ListParagraph"/>
        <w:numPr>
          <w:ilvl w:val="0"/>
          <w:numId w:val="20"/>
        </w:numPr>
        <w:jc w:val="both"/>
        <w:rPr>
          <w:rFonts w:ascii="Deutsche Bank Text" w:hAnsi="Deutsche Bank Text" w:cs="Deutsche Bank Text"/>
          <w:i/>
          <w:iCs/>
          <w:sz w:val="20"/>
          <w:szCs w:val="20"/>
        </w:rPr>
      </w:pPr>
      <w:r w:rsidRPr="00120104">
        <w:rPr>
          <w:rFonts w:ascii="Deutsche Bank Text" w:hAnsi="Deutsche Bank Text" w:cs="Deutsche Bank Text"/>
          <w:i/>
          <w:iCs/>
          <w:sz w:val="20"/>
          <w:szCs w:val="20"/>
        </w:rPr>
        <w:t>Dividend Swap Referencing Equity Index or Security</w:t>
      </w:r>
    </w:p>
    <w:p w14:paraId="3B87CBC9" w14:textId="77777777" w:rsidR="007675CD" w:rsidRPr="00120104" w:rsidRDefault="007675CD" w:rsidP="00E445B5">
      <w:pPr>
        <w:pStyle w:val="ListParagraph"/>
        <w:jc w:val="both"/>
        <w:rPr>
          <w:rFonts w:ascii="Deutsche Bank Text" w:hAnsi="Deutsche Bank Text" w:cs="Deutsche Bank Text"/>
          <w:sz w:val="20"/>
          <w:szCs w:val="20"/>
        </w:rPr>
      </w:pPr>
    </w:p>
    <w:p w14:paraId="1BD093E8" w14:textId="1B451A49" w:rsidR="0020092D" w:rsidRPr="00120104" w:rsidRDefault="0020092D" w:rsidP="00E445B5">
      <w:pPr>
        <w:pStyle w:val="ListParagraph"/>
        <w:jc w:val="both"/>
        <w:rPr>
          <w:rFonts w:ascii="Deutsche Bank Text" w:hAnsi="Deutsche Bank Text" w:cs="Deutsche Bank Text"/>
          <w:sz w:val="20"/>
          <w:szCs w:val="20"/>
        </w:rPr>
      </w:pPr>
      <w:r w:rsidRPr="00120104">
        <w:rPr>
          <w:rFonts w:ascii="Deutsche Bank Text" w:hAnsi="Deutsche Bank Text" w:cs="Deutsche Bank Text"/>
          <w:sz w:val="20"/>
          <w:szCs w:val="20"/>
        </w:rPr>
        <w:t xml:space="preserve">The Daily Mark is calculated based on the Proprietary Model Method – Implied Value Method. Assumed amounts for future dividends are derived from prices of market-traded instruments referencing the relevant index as of the Calculation Date. </w:t>
      </w:r>
    </w:p>
    <w:p w14:paraId="48FE62D8" w14:textId="77777777" w:rsidR="007675CD" w:rsidRPr="00120104" w:rsidRDefault="007675CD" w:rsidP="00E445B5">
      <w:pPr>
        <w:pStyle w:val="ListParagraph"/>
        <w:jc w:val="both"/>
        <w:rPr>
          <w:rFonts w:ascii="Deutsche Bank Text" w:hAnsi="Deutsche Bank Text" w:cs="Deutsche Bank Text"/>
          <w:sz w:val="20"/>
          <w:szCs w:val="20"/>
        </w:rPr>
      </w:pPr>
    </w:p>
    <w:p w14:paraId="2BC6E438" w14:textId="1E77ED55" w:rsidR="0020092D" w:rsidRPr="00120104" w:rsidRDefault="0020092D" w:rsidP="00E445B5">
      <w:pPr>
        <w:pStyle w:val="ListParagraph"/>
        <w:numPr>
          <w:ilvl w:val="0"/>
          <w:numId w:val="20"/>
        </w:numPr>
        <w:jc w:val="both"/>
        <w:rPr>
          <w:rFonts w:ascii="Deutsche Bank Text" w:hAnsi="Deutsche Bank Text" w:cs="Deutsche Bank Text"/>
          <w:i/>
          <w:iCs/>
          <w:sz w:val="20"/>
          <w:szCs w:val="20"/>
        </w:rPr>
      </w:pPr>
      <w:r w:rsidRPr="00120104">
        <w:rPr>
          <w:rFonts w:ascii="Deutsche Bank Text" w:hAnsi="Deutsche Bank Text" w:cs="Deutsche Bank Text"/>
          <w:i/>
          <w:iCs/>
          <w:sz w:val="20"/>
          <w:szCs w:val="20"/>
        </w:rPr>
        <w:t xml:space="preserve">Variance Swap or Volatility Swap Referencing Equity Index or Security </w:t>
      </w:r>
    </w:p>
    <w:p w14:paraId="36A581CE" w14:textId="77777777" w:rsidR="007675CD" w:rsidRPr="00120104" w:rsidRDefault="007675CD" w:rsidP="00E445B5">
      <w:pPr>
        <w:jc w:val="both"/>
        <w:rPr>
          <w:rFonts w:ascii="Deutsche Bank Text" w:hAnsi="Deutsche Bank Text" w:cs="Deutsche Bank Text"/>
          <w:lang w:val="en-US"/>
        </w:rPr>
      </w:pPr>
    </w:p>
    <w:p w14:paraId="1B5DEEF1" w14:textId="723E4068" w:rsidR="0020092D" w:rsidRPr="00120104" w:rsidRDefault="0020092D" w:rsidP="00E445B5">
      <w:pPr>
        <w:ind w:left="709"/>
        <w:jc w:val="both"/>
        <w:rPr>
          <w:rFonts w:ascii="Deutsche Bank Text" w:hAnsi="Deutsche Bank Text" w:cs="Deutsche Bank Text"/>
        </w:rPr>
      </w:pPr>
      <w:r w:rsidRPr="00120104">
        <w:rPr>
          <w:rFonts w:ascii="Deutsche Bank Text" w:hAnsi="Deutsche Bank Text" w:cs="Deutsche Bank Text"/>
        </w:rPr>
        <w:t xml:space="preserve">The Daily Mark is calculated based on the Proprietary Model Method – Implied Value Method. Assumed values for variance or volatility, as applicable, over the applicable period are calculated based on actual realized variance or volatility, as applicable, on and prior to the Calculation Date and, for the remainder of the applicable period, an implied variance or implied volatility, as applicable, is derived from prices of market-traded instruments referencing the relevant Underlier as of the Calculation Date. </w:t>
      </w:r>
    </w:p>
    <w:p w14:paraId="1B34B1E6" w14:textId="77777777" w:rsidR="007675CD" w:rsidRPr="00120104" w:rsidRDefault="007675CD" w:rsidP="00E445B5">
      <w:pPr>
        <w:ind w:left="709"/>
        <w:jc w:val="both"/>
        <w:rPr>
          <w:rFonts w:ascii="Deutsche Bank Text" w:hAnsi="Deutsche Bank Text" w:cs="Deutsche Bank Text"/>
        </w:rPr>
      </w:pPr>
    </w:p>
    <w:p w14:paraId="7DA46106" w14:textId="79013341" w:rsidR="0020092D" w:rsidRPr="00120104" w:rsidRDefault="0020092D" w:rsidP="00E445B5">
      <w:pPr>
        <w:pStyle w:val="ListParagraph"/>
        <w:numPr>
          <w:ilvl w:val="0"/>
          <w:numId w:val="19"/>
        </w:numPr>
        <w:jc w:val="both"/>
        <w:rPr>
          <w:rFonts w:ascii="Deutsche Bank Text" w:hAnsi="Deutsche Bank Text" w:cs="Deutsche Bank Text"/>
          <w:sz w:val="20"/>
          <w:szCs w:val="20"/>
          <w:u w:val="single"/>
        </w:rPr>
      </w:pPr>
      <w:r w:rsidRPr="00120104">
        <w:rPr>
          <w:rFonts w:ascii="Deutsche Bank Text" w:hAnsi="Deutsche Bank Text" w:cs="Deutsche Bank Text"/>
          <w:sz w:val="20"/>
          <w:szCs w:val="20"/>
          <w:u w:val="single"/>
        </w:rPr>
        <w:t xml:space="preserve">Foreign Exchange </w:t>
      </w:r>
    </w:p>
    <w:p w14:paraId="43B8DBD0" w14:textId="77777777" w:rsidR="007675CD" w:rsidRPr="00120104" w:rsidRDefault="007675CD" w:rsidP="00E445B5">
      <w:pPr>
        <w:pStyle w:val="ListParagraph"/>
        <w:ind w:left="1429"/>
        <w:jc w:val="both"/>
        <w:rPr>
          <w:rFonts w:ascii="Deutsche Bank Text" w:hAnsi="Deutsche Bank Text" w:cs="Deutsche Bank Text"/>
          <w:sz w:val="20"/>
          <w:szCs w:val="20"/>
          <w:u w:val="single"/>
        </w:rPr>
      </w:pPr>
    </w:p>
    <w:p w14:paraId="262B1C57" w14:textId="7E15D719" w:rsidR="0020092D" w:rsidRPr="00120104" w:rsidRDefault="0020092D" w:rsidP="00E445B5">
      <w:pPr>
        <w:pStyle w:val="ListParagraph"/>
        <w:numPr>
          <w:ilvl w:val="0"/>
          <w:numId w:val="22"/>
        </w:numPr>
        <w:jc w:val="both"/>
        <w:rPr>
          <w:rFonts w:ascii="Deutsche Bank Text" w:hAnsi="Deutsche Bank Text" w:cs="Deutsche Bank Text"/>
          <w:i/>
          <w:iCs/>
          <w:sz w:val="20"/>
          <w:szCs w:val="20"/>
        </w:rPr>
      </w:pPr>
      <w:r w:rsidRPr="00120104">
        <w:rPr>
          <w:rFonts w:ascii="Deutsche Bank Text" w:hAnsi="Deutsche Bank Text" w:cs="Deutsche Bank Text"/>
          <w:i/>
          <w:iCs/>
          <w:sz w:val="20"/>
          <w:szCs w:val="20"/>
        </w:rPr>
        <w:lastRenderedPageBreak/>
        <w:t>Foreign Exchange Swap or Foreign Exchange Forward (including non</w:t>
      </w:r>
      <w:r w:rsidR="007675CD" w:rsidRPr="00120104">
        <w:rPr>
          <w:rFonts w:ascii="Deutsche Bank Text" w:hAnsi="Deutsche Bank Text" w:cs="Deutsche Bank Text"/>
          <w:i/>
          <w:iCs/>
          <w:sz w:val="20"/>
          <w:szCs w:val="20"/>
        </w:rPr>
        <w:t>-</w:t>
      </w:r>
      <w:r w:rsidRPr="00120104">
        <w:rPr>
          <w:rFonts w:ascii="Deutsche Bank Text" w:hAnsi="Deutsche Bank Text" w:cs="Deutsche Bank Text"/>
          <w:i/>
          <w:iCs/>
          <w:sz w:val="20"/>
          <w:szCs w:val="20"/>
        </w:rPr>
        <w:t xml:space="preserve">deliverable) </w:t>
      </w:r>
    </w:p>
    <w:p w14:paraId="6DE4A8C2" w14:textId="77777777" w:rsidR="00ED41C2" w:rsidRPr="00120104" w:rsidRDefault="00ED41C2" w:rsidP="00E445B5">
      <w:pPr>
        <w:pStyle w:val="ListParagraph"/>
        <w:jc w:val="both"/>
        <w:rPr>
          <w:rFonts w:ascii="Deutsche Bank Text" w:hAnsi="Deutsche Bank Text" w:cs="Deutsche Bank Text"/>
          <w:sz w:val="20"/>
          <w:szCs w:val="20"/>
        </w:rPr>
      </w:pPr>
    </w:p>
    <w:p w14:paraId="1D04E408" w14:textId="2AFE5460" w:rsidR="0020092D" w:rsidRPr="00120104" w:rsidRDefault="0020092D" w:rsidP="00E445B5">
      <w:pPr>
        <w:ind w:left="709"/>
        <w:jc w:val="both"/>
        <w:rPr>
          <w:rFonts w:ascii="Deutsche Bank Text" w:hAnsi="Deutsche Bank Text" w:cs="Deutsche Bank Text"/>
        </w:rPr>
      </w:pPr>
      <w:r w:rsidRPr="00120104">
        <w:rPr>
          <w:rFonts w:ascii="Deutsche Bank Text" w:hAnsi="Deutsche Bank Text" w:cs="Deutsche Bank Text"/>
        </w:rPr>
        <w:t>The Daily Mark is calculated based on the Forward Price Method. The forward exchange rate is determined based on the most recent exchange rate for the Underliers published by the applicable source as of the Calculation Date and an appropriate rate curve for each relevant currency. If the Transaction is contingent on the occurrence of a specified transaction, the calculation of the Daily Mark also incorporates a factor reflecting the likelihood that the specified transaction will be consummated, as estimated by DB</w:t>
      </w:r>
      <w:r w:rsidR="003E2AF5">
        <w:rPr>
          <w:rFonts w:ascii="Deutsche Bank Text" w:hAnsi="Deutsche Bank Text" w:cs="Deutsche Bank Text"/>
        </w:rPr>
        <w:t>AG</w:t>
      </w:r>
      <w:r w:rsidRPr="00120104">
        <w:rPr>
          <w:rFonts w:ascii="Deutsche Bank Text" w:hAnsi="Deutsche Bank Text" w:cs="Deutsche Bank Text"/>
        </w:rPr>
        <w:t xml:space="preserve">. </w:t>
      </w:r>
    </w:p>
    <w:p w14:paraId="7649B55E" w14:textId="6449BDDF" w:rsidR="00ED41C2" w:rsidRPr="00120104" w:rsidRDefault="00ED41C2" w:rsidP="00ED41C2">
      <w:pPr>
        <w:pStyle w:val="ListParagraph"/>
        <w:jc w:val="both"/>
        <w:rPr>
          <w:rFonts w:ascii="Deutsche Bank Text" w:hAnsi="Deutsche Bank Text" w:cs="Deutsche Bank Text"/>
          <w:sz w:val="20"/>
          <w:szCs w:val="20"/>
        </w:rPr>
      </w:pPr>
    </w:p>
    <w:p w14:paraId="43E66A4E" w14:textId="69BBFC72" w:rsidR="0020092D" w:rsidRPr="00120104" w:rsidRDefault="0020092D" w:rsidP="00ED41C2">
      <w:pPr>
        <w:pStyle w:val="ListParagraph"/>
        <w:numPr>
          <w:ilvl w:val="0"/>
          <w:numId w:val="22"/>
        </w:numPr>
        <w:jc w:val="both"/>
        <w:rPr>
          <w:rFonts w:ascii="Deutsche Bank Text" w:hAnsi="Deutsche Bank Text" w:cs="Deutsche Bank Text"/>
          <w:i/>
          <w:iCs/>
          <w:sz w:val="20"/>
          <w:szCs w:val="20"/>
        </w:rPr>
      </w:pPr>
      <w:r w:rsidRPr="00120104">
        <w:rPr>
          <w:rFonts w:ascii="Deutsche Bank Text" w:hAnsi="Deutsche Bank Text" w:cs="Deutsche Bank Text"/>
          <w:i/>
          <w:iCs/>
          <w:sz w:val="20"/>
          <w:szCs w:val="20"/>
        </w:rPr>
        <w:t xml:space="preserve">Foreign Exchange Option (including non-deliverable) </w:t>
      </w:r>
    </w:p>
    <w:p w14:paraId="025CB419" w14:textId="77777777" w:rsidR="00ED41C2" w:rsidRPr="00120104" w:rsidRDefault="00ED41C2" w:rsidP="0020092D">
      <w:pPr>
        <w:jc w:val="both"/>
        <w:rPr>
          <w:rFonts w:ascii="Deutsche Bank Text" w:hAnsi="Deutsche Bank Text" w:cs="Deutsche Bank Text"/>
        </w:rPr>
      </w:pPr>
    </w:p>
    <w:p w14:paraId="5BB31D81" w14:textId="77777777" w:rsidR="00766890" w:rsidRPr="00120104" w:rsidRDefault="0020092D" w:rsidP="00766890">
      <w:pPr>
        <w:ind w:left="709"/>
        <w:jc w:val="both"/>
        <w:rPr>
          <w:rFonts w:ascii="Deutsche Bank Text" w:hAnsi="Deutsche Bank Text" w:cs="Deutsche Bank Text"/>
        </w:rPr>
      </w:pPr>
      <w:r w:rsidRPr="00120104">
        <w:rPr>
          <w:rFonts w:ascii="Deutsche Bank Text" w:hAnsi="Deutsche Bank Text" w:cs="Deutsche Bank Text"/>
        </w:rPr>
        <w:t xml:space="preserve">The Daily Mark is calculated based on the Proprietary Model Method. The model is based on an option pricing model that uses as inputs, among other things: the most recent exchange </w:t>
      </w:r>
    </w:p>
    <w:p w14:paraId="1B164D4F" w14:textId="77777777" w:rsidR="00766890" w:rsidRPr="00120104" w:rsidRDefault="00766890" w:rsidP="00766890">
      <w:pPr>
        <w:ind w:left="709"/>
        <w:jc w:val="both"/>
        <w:rPr>
          <w:rFonts w:ascii="Deutsche Bank Text" w:hAnsi="Deutsche Bank Text" w:cs="Deutsche Bank Text"/>
        </w:rPr>
      </w:pPr>
    </w:p>
    <w:p w14:paraId="1E98CFCB" w14:textId="6C06AE4E" w:rsidR="0020092D" w:rsidRPr="00120104" w:rsidRDefault="0020092D" w:rsidP="00766890">
      <w:pPr>
        <w:ind w:left="709"/>
        <w:jc w:val="both"/>
        <w:rPr>
          <w:rFonts w:ascii="Deutsche Bank Text" w:hAnsi="Deutsche Bank Text" w:cs="Deutsche Bank Text"/>
        </w:rPr>
      </w:pPr>
      <w:r w:rsidRPr="00120104">
        <w:rPr>
          <w:rFonts w:ascii="Deutsche Bank Text" w:hAnsi="Deutsche Bank Text" w:cs="Deutsche Bank Text"/>
        </w:rPr>
        <w:t xml:space="preserve">rate for the Underliers published by the applicable source as of the Calculation Date; an implied volatility of the relevant exchange rate derived from recent prices of market-traded instruments referencing the relevant exchange rate as of the Calculation Date; and an appropriate rate curve for each relevant currency. </w:t>
      </w:r>
    </w:p>
    <w:p w14:paraId="2F4CE98A" w14:textId="5A4970E5" w:rsidR="00766890" w:rsidRPr="00120104" w:rsidRDefault="00766890" w:rsidP="0020092D">
      <w:pPr>
        <w:jc w:val="both"/>
        <w:rPr>
          <w:rFonts w:ascii="Deutsche Bank Text" w:hAnsi="Deutsche Bank Text" w:cs="Deutsche Bank Text"/>
        </w:rPr>
      </w:pPr>
    </w:p>
    <w:p w14:paraId="67686613" w14:textId="34A8179E" w:rsidR="0020092D" w:rsidRPr="00120104" w:rsidRDefault="0020092D" w:rsidP="00766890">
      <w:pPr>
        <w:pStyle w:val="ListParagraph"/>
        <w:numPr>
          <w:ilvl w:val="0"/>
          <w:numId w:val="22"/>
        </w:numPr>
        <w:jc w:val="both"/>
        <w:rPr>
          <w:rFonts w:ascii="Deutsche Bank Text" w:hAnsi="Deutsche Bank Text" w:cs="Deutsche Bank Text"/>
          <w:i/>
          <w:iCs/>
          <w:sz w:val="20"/>
          <w:szCs w:val="20"/>
        </w:rPr>
      </w:pPr>
      <w:r w:rsidRPr="00120104">
        <w:rPr>
          <w:rFonts w:ascii="Deutsche Bank Text" w:hAnsi="Deutsche Bank Text" w:cs="Deutsche Bank Text"/>
          <w:i/>
          <w:iCs/>
          <w:sz w:val="20"/>
          <w:szCs w:val="20"/>
        </w:rPr>
        <w:t xml:space="preserve">Swap or Option Referencing Foreign Exchange Index </w:t>
      </w:r>
    </w:p>
    <w:p w14:paraId="0BE4797A" w14:textId="77777777" w:rsidR="00766890" w:rsidRPr="00120104" w:rsidRDefault="00766890" w:rsidP="0020092D">
      <w:pPr>
        <w:jc w:val="both"/>
        <w:rPr>
          <w:rFonts w:ascii="Deutsche Bank Text" w:hAnsi="Deutsche Bank Text" w:cs="Deutsche Bank Text"/>
        </w:rPr>
      </w:pPr>
    </w:p>
    <w:p w14:paraId="13E948BF" w14:textId="58776A26" w:rsidR="0020092D" w:rsidRPr="00120104" w:rsidRDefault="0020092D" w:rsidP="00766890">
      <w:pPr>
        <w:ind w:left="709"/>
        <w:jc w:val="both"/>
        <w:rPr>
          <w:rFonts w:ascii="Deutsche Bank Text" w:hAnsi="Deutsche Bank Text" w:cs="Deutsche Bank Text"/>
        </w:rPr>
      </w:pPr>
      <w:r w:rsidRPr="00120104">
        <w:rPr>
          <w:rFonts w:ascii="Deutsche Bank Text" w:hAnsi="Deutsche Bank Text" w:cs="Deutsche Bank Text"/>
        </w:rPr>
        <w:t>The Daily Mark is calculated based on the Proprietary Model Method. The type of model used varies depending on the underlying foreign exchange index and may be based on Monte Carlo simulation, an analytical model or another methodology. The volatility of the underlying index will be an input to the model and will be determined by DB</w:t>
      </w:r>
      <w:r w:rsidR="003E2AF5">
        <w:rPr>
          <w:rFonts w:ascii="Deutsche Bank Text" w:hAnsi="Deutsche Bank Text" w:cs="Deutsche Bank Text"/>
        </w:rPr>
        <w:t>AG</w:t>
      </w:r>
      <w:r w:rsidRPr="00120104">
        <w:rPr>
          <w:rFonts w:ascii="Deutsche Bank Text" w:hAnsi="Deutsche Bank Text" w:cs="Deutsche Bank Text"/>
        </w:rPr>
        <w:t xml:space="preserve"> based on historical realized volatility and the target volatility of the applicable index.</w:t>
      </w:r>
    </w:p>
    <w:p w14:paraId="1FA2476A" w14:textId="77777777" w:rsidR="00766890" w:rsidRPr="00120104" w:rsidRDefault="00766890" w:rsidP="00766890">
      <w:pPr>
        <w:ind w:left="709"/>
        <w:jc w:val="both"/>
        <w:rPr>
          <w:rFonts w:ascii="Deutsche Bank Text" w:hAnsi="Deutsche Bank Text" w:cs="Deutsche Bank Text"/>
        </w:rPr>
      </w:pPr>
    </w:p>
    <w:p w14:paraId="310189B3" w14:textId="704732BD" w:rsidR="0020092D" w:rsidRPr="00120104" w:rsidRDefault="0020092D" w:rsidP="00BB5F35">
      <w:pPr>
        <w:pStyle w:val="ListParagraph"/>
        <w:numPr>
          <w:ilvl w:val="0"/>
          <w:numId w:val="22"/>
        </w:numPr>
        <w:jc w:val="both"/>
        <w:rPr>
          <w:rFonts w:ascii="Deutsche Bank Text" w:hAnsi="Deutsche Bank Text" w:cs="Deutsche Bank Text"/>
          <w:i/>
          <w:iCs/>
          <w:sz w:val="20"/>
          <w:szCs w:val="20"/>
        </w:rPr>
      </w:pPr>
      <w:r w:rsidRPr="00120104">
        <w:rPr>
          <w:rFonts w:ascii="Deutsche Bank Text" w:hAnsi="Deutsche Bank Text" w:cs="Deutsche Bank Text"/>
          <w:i/>
          <w:iCs/>
          <w:sz w:val="20"/>
          <w:szCs w:val="20"/>
        </w:rPr>
        <w:t xml:space="preserve">Foreign Exchange Variance Swap, Volatility Swap, Variance Dispersion Swap or Correlation Swap </w:t>
      </w:r>
    </w:p>
    <w:p w14:paraId="1F58710A" w14:textId="77777777" w:rsidR="00766890" w:rsidRPr="00120104" w:rsidRDefault="00766890" w:rsidP="00766890">
      <w:pPr>
        <w:pStyle w:val="ListParagraph"/>
        <w:jc w:val="both"/>
        <w:rPr>
          <w:rFonts w:ascii="Deutsche Bank Text" w:hAnsi="Deutsche Bank Text" w:cs="Deutsche Bank Text"/>
          <w:i/>
          <w:iCs/>
          <w:sz w:val="20"/>
          <w:szCs w:val="20"/>
        </w:rPr>
      </w:pPr>
    </w:p>
    <w:p w14:paraId="00228D1C" w14:textId="008FDAB3" w:rsidR="0020092D" w:rsidRPr="00120104" w:rsidRDefault="0020092D" w:rsidP="00766890">
      <w:pPr>
        <w:ind w:left="709"/>
        <w:jc w:val="both"/>
        <w:rPr>
          <w:rFonts w:ascii="Deutsche Bank Text" w:hAnsi="Deutsche Bank Text" w:cs="Deutsche Bank Text"/>
        </w:rPr>
      </w:pPr>
      <w:r w:rsidRPr="00120104">
        <w:rPr>
          <w:rFonts w:ascii="Deutsche Bank Text" w:hAnsi="Deutsche Bank Text" w:cs="Deutsche Bank Text"/>
        </w:rPr>
        <w:t xml:space="preserve">The Daily Mark is calculated based on the Proprietary Model Method – Implied Value Method. Assumed values for variance, volatility or correlation, as applicable, over the applicable period are calculated based on actual realized variance, volatility or correlation, as applicable, on and prior to the Calculation Date and, for the remainder of the applicable period, an implied variance, implied volatility or implied correlation, as applicable, is derived from recent prices of market-traded instruments referencing each relevant Underlier as of </w:t>
      </w:r>
    </w:p>
    <w:p w14:paraId="488C0B8A" w14:textId="77777777" w:rsidR="0020092D" w:rsidRPr="00120104" w:rsidRDefault="0020092D" w:rsidP="00766890">
      <w:pPr>
        <w:ind w:firstLine="709"/>
        <w:jc w:val="both"/>
        <w:rPr>
          <w:rFonts w:ascii="Deutsche Bank Text" w:hAnsi="Deutsche Bank Text" w:cs="Deutsche Bank Text"/>
        </w:rPr>
      </w:pPr>
      <w:r w:rsidRPr="00120104">
        <w:rPr>
          <w:rFonts w:ascii="Deutsche Bank Text" w:hAnsi="Deutsche Bank Text" w:cs="Deutsche Bank Text"/>
        </w:rPr>
        <w:t xml:space="preserve">the Calculation Date. </w:t>
      </w:r>
    </w:p>
    <w:p w14:paraId="23AE0E3B" w14:textId="77777777" w:rsidR="00766890" w:rsidRPr="00120104" w:rsidRDefault="00766890" w:rsidP="00766890">
      <w:pPr>
        <w:ind w:firstLine="709"/>
        <w:jc w:val="both"/>
        <w:rPr>
          <w:rFonts w:ascii="Deutsche Bank Text" w:hAnsi="Deutsche Bank Text" w:cs="Deutsche Bank Text"/>
        </w:rPr>
      </w:pPr>
    </w:p>
    <w:p w14:paraId="3FA398F5" w14:textId="4AA9A252" w:rsidR="0020092D" w:rsidRPr="00120104" w:rsidRDefault="0020092D" w:rsidP="00766890">
      <w:pPr>
        <w:pStyle w:val="ListParagraph"/>
        <w:numPr>
          <w:ilvl w:val="0"/>
          <w:numId w:val="19"/>
        </w:numPr>
        <w:jc w:val="both"/>
        <w:rPr>
          <w:rFonts w:ascii="Deutsche Bank Text" w:hAnsi="Deutsche Bank Text" w:cs="Deutsche Bank Text"/>
          <w:sz w:val="20"/>
          <w:szCs w:val="20"/>
          <w:u w:val="single"/>
        </w:rPr>
      </w:pPr>
      <w:r w:rsidRPr="00120104">
        <w:rPr>
          <w:rFonts w:ascii="Deutsche Bank Text" w:hAnsi="Deutsche Bank Text" w:cs="Deutsche Bank Text"/>
          <w:sz w:val="20"/>
          <w:szCs w:val="20"/>
          <w:u w:val="single"/>
        </w:rPr>
        <w:t>Commodity</w:t>
      </w:r>
    </w:p>
    <w:p w14:paraId="688AB7ED" w14:textId="77777777" w:rsidR="00766890" w:rsidRPr="00120104" w:rsidRDefault="00766890" w:rsidP="00766890">
      <w:pPr>
        <w:pStyle w:val="ListParagraph"/>
        <w:ind w:left="1429"/>
        <w:jc w:val="both"/>
        <w:rPr>
          <w:rFonts w:ascii="Deutsche Bank Text" w:hAnsi="Deutsche Bank Text" w:cs="Deutsche Bank Text"/>
          <w:sz w:val="20"/>
          <w:szCs w:val="20"/>
          <w:u w:val="single"/>
        </w:rPr>
      </w:pPr>
    </w:p>
    <w:p w14:paraId="022FBF7B" w14:textId="77777777" w:rsidR="0020092D" w:rsidRPr="00120104" w:rsidRDefault="0020092D" w:rsidP="00766890">
      <w:pPr>
        <w:ind w:firstLine="709"/>
        <w:jc w:val="both"/>
        <w:rPr>
          <w:rFonts w:ascii="Deutsche Bank Text" w:hAnsi="Deutsche Bank Text" w:cs="Deutsche Bank Text"/>
        </w:rPr>
      </w:pPr>
      <w:r w:rsidRPr="00120104">
        <w:rPr>
          <w:rFonts w:ascii="Deutsche Bank Text" w:hAnsi="Deutsche Bank Text" w:cs="Deutsche Bank Text"/>
        </w:rPr>
        <w:t>General information about commodity forward curves and volatilities:</w:t>
      </w:r>
    </w:p>
    <w:p w14:paraId="5B772403" w14:textId="426825D1" w:rsidR="00766890" w:rsidRPr="00120104" w:rsidRDefault="00766890" w:rsidP="00766890">
      <w:pPr>
        <w:pStyle w:val="ListParagraph"/>
        <w:jc w:val="both"/>
        <w:rPr>
          <w:rFonts w:ascii="Deutsche Bank Text" w:hAnsi="Deutsche Bank Text" w:cs="Deutsche Bank Text"/>
          <w:sz w:val="20"/>
          <w:szCs w:val="20"/>
        </w:rPr>
      </w:pPr>
    </w:p>
    <w:p w14:paraId="63A03931" w14:textId="3A7C3474" w:rsidR="0020092D" w:rsidRPr="00120104" w:rsidRDefault="0020092D" w:rsidP="00F70066">
      <w:pPr>
        <w:pStyle w:val="ListParagraph"/>
        <w:numPr>
          <w:ilvl w:val="0"/>
          <w:numId w:val="24"/>
        </w:numPr>
        <w:jc w:val="both"/>
        <w:rPr>
          <w:rFonts w:ascii="Deutsche Bank Text" w:hAnsi="Deutsche Bank Text" w:cs="Deutsche Bank Text"/>
          <w:sz w:val="20"/>
          <w:szCs w:val="20"/>
        </w:rPr>
      </w:pPr>
      <w:r w:rsidRPr="00120104">
        <w:rPr>
          <w:rFonts w:ascii="Deutsche Bank Text" w:hAnsi="Deutsche Bank Text" w:cs="Deutsche Bank Text"/>
          <w:sz w:val="20"/>
          <w:szCs w:val="20"/>
        </w:rPr>
        <w:t xml:space="preserve">For an Underlier that is a commodity futures contract, the most recent settlement price of that commodity futures contract as of the Calculation Date is deemed to be the forward price (except that, for a “constantmaturity” commodity futures contract (such as a base metals transaction on the London Metals Exchange), the forward price is determined by linearly interpolating the futures prices of the equivalent “constant-expiry” commodity futures contracts). For precious metals, the forward price is determined using the spot price, the lease rate and the underlying discount curve. For an Underlier that is the spot price of a physical commodity, the forward price is determined based on over-the-counter swap market observations or based on another commodity using the “differential contracts” traded between commodities. </w:t>
      </w:r>
    </w:p>
    <w:p w14:paraId="16FBFAD5" w14:textId="36510FED" w:rsidR="00766890" w:rsidRPr="00120104" w:rsidRDefault="00766890" w:rsidP="00766890">
      <w:pPr>
        <w:pStyle w:val="ListParagraph"/>
        <w:jc w:val="both"/>
        <w:rPr>
          <w:rFonts w:ascii="Deutsche Bank Text" w:hAnsi="Deutsche Bank Text" w:cs="Deutsche Bank Text"/>
          <w:sz w:val="20"/>
          <w:szCs w:val="20"/>
        </w:rPr>
      </w:pPr>
    </w:p>
    <w:p w14:paraId="58C810D2" w14:textId="7C23D47B" w:rsidR="0020092D" w:rsidRPr="00120104" w:rsidRDefault="0020092D" w:rsidP="00F526B7">
      <w:pPr>
        <w:pStyle w:val="ListParagraph"/>
        <w:numPr>
          <w:ilvl w:val="0"/>
          <w:numId w:val="24"/>
        </w:numPr>
        <w:jc w:val="both"/>
        <w:rPr>
          <w:rFonts w:ascii="Deutsche Bank Text" w:hAnsi="Deutsche Bank Text" w:cs="Deutsche Bank Text"/>
          <w:sz w:val="20"/>
          <w:szCs w:val="20"/>
        </w:rPr>
      </w:pPr>
      <w:r w:rsidRPr="00120104">
        <w:rPr>
          <w:rFonts w:ascii="Deutsche Bank Text" w:hAnsi="Deutsche Bank Text" w:cs="Deutsche Bank Text"/>
          <w:sz w:val="20"/>
          <w:szCs w:val="20"/>
        </w:rPr>
        <w:lastRenderedPageBreak/>
        <w:t>For any Transaction involving optionality, DB</w:t>
      </w:r>
      <w:r w:rsidR="003E2AF5">
        <w:rPr>
          <w:rFonts w:ascii="Deutsche Bank Text" w:hAnsi="Deutsche Bank Text" w:cs="Deutsche Bank Text"/>
          <w:sz w:val="20"/>
          <w:szCs w:val="20"/>
        </w:rPr>
        <w:t>AG</w:t>
      </w:r>
      <w:r w:rsidRPr="00120104">
        <w:rPr>
          <w:rFonts w:ascii="Deutsche Bank Text" w:hAnsi="Deutsche Bank Text" w:cs="Deutsche Bank Text"/>
          <w:sz w:val="20"/>
          <w:szCs w:val="20"/>
        </w:rPr>
        <w:t xml:space="preserve"> constructs an “implied volatility surface” representing the implied volatility of the relevant Underlier given a specific option expiry and a specific strike, observed as of the Calculation Date. The model also derives the “forward volatility” (i.e., implied volatility observed as of a future date, which is necessary for pricing certain options). The model is calibrated based on observations of markettraded option products. For commodity indices, the implied volatility surface can either be calibrated to observable options or be calculated using underlying futures implied volatility surfaces and the correlation between them. </w:t>
      </w:r>
    </w:p>
    <w:p w14:paraId="3AB45786" w14:textId="77777777" w:rsidR="00E94472" w:rsidRPr="00120104" w:rsidRDefault="00E94472" w:rsidP="00E94472">
      <w:pPr>
        <w:pStyle w:val="ListParagraph"/>
        <w:rPr>
          <w:rFonts w:ascii="Deutsche Bank Text" w:hAnsi="Deutsche Bank Text" w:cs="Deutsche Bank Text"/>
          <w:sz w:val="20"/>
          <w:szCs w:val="20"/>
        </w:rPr>
      </w:pPr>
    </w:p>
    <w:p w14:paraId="6A07DD75" w14:textId="494E4C7F" w:rsidR="0020092D" w:rsidRPr="00120104" w:rsidRDefault="0020092D" w:rsidP="00107A49">
      <w:pPr>
        <w:pStyle w:val="ListParagraph"/>
        <w:numPr>
          <w:ilvl w:val="0"/>
          <w:numId w:val="25"/>
        </w:numPr>
        <w:jc w:val="both"/>
        <w:rPr>
          <w:rFonts w:ascii="Deutsche Bank Text" w:hAnsi="Deutsche Bank Text" w:cs="Deutsche Bank Text"/>
          <w:i/>
          <w:iCs/>
          <w:sz w:val="20"/>
          <w:szCs w:val="20"/>
        </w:rPr>
      </w:pPr>
      <w:r w:rsidRPr="00120104">
        <w:rPr>
          <w:rFonts w:ascii="Deutsche Bank Text" w:hAnsi="Deutsche Bank Text" w:cs="Deutsche Bank Text"/>
          <w:i/>
          <w:iCs/>
          <w:sz w:val="20"/>
          <w:szCs w:val="20"/>
        </w:rPr>
        <w:t xml:space="preserve">Swap or Forward Referencing Physical Commodity or Commodity Futures Contract </w:t>
      </w:r>
    </w:p>
    <w:p w14:paraId="419A734E" w14:textId="77777777" w:rsidR="00E94472" w:rsidRPr="00120104" w:rsidRDefault="00E94472" w:rsidP="00E94472">
      <w:pPr>
        <w:pStyle w:val="ListParagraph"/>
        <w:jc w:val="both"/>
        <w:rPr>
          <w:rFonts w:ascii="Deutsche Bank Text" w:hAnsi="Deutsche Bank Text" w:cs="Deutsche Bank Text"/>
          <w:i/>
          <w:iCs/>
          <w:sz w:val="20"/>
          <w:szCs w:val="20"/>
        </w:rPr>
      </w:pPr>
    </w:p>
    <w:p w14:paraId="0096ED86" w14:textId="6CCC33FD" w:rsidR="0020092D" w:rsidRPr="00120104" w:rsidRDefault="0020092D" w:rsidP="00E94472">
      <w:pPr>
        <w:ind w:left="709"/>
        <w:jc w:val="both"/>
        <w:rPr>
          <w:rFonts w:ascii="Deutsche Bank Text" w:hAnsi="Deutsche Bank Text" w:cs="Deutsche Bank Text"/>
        </w:rPr>
      </w:pPr>
      <w:r w:rsidRPr="00120104">
        <w:rPr>
          <w:rFonts w:ascii="Deutsche Bank Text" w:hAnsi="Deutsche Bank Text" w:cs="Deutsche Bank Text"/>
        </w:rPr>
        <w:t xml:space="preserve">The Daily Mark is calculated based on the Forward Price Method, subject to the specific descriptions of the determination of forward prices for commodity Underliers set forth above. </w:t>
      </w:r>
    </w:p>
    <w:p w14:paraId="4356192A" w14:textId="77777777" w:rsidR="00E94472" w:rsidRPr="00120104" w:rsidRDefault="00E94472" w:rsidP="00E94472">
      <w:pPr>
        <w:ind w:left="709"/>
        <w:jc w:val="both"/>
        <w:rPr>
          <w:rFonts w:ascii="Deutsche Bank Text" w:hAnsi="Deutsche Bank Text" w:cs="Deutsche Bank Text"/>
        </w:rPr>
      </w:pPr>
    </w:p>
    <w:p w14:paraId="3922DD43" w14:textId="1E6FB85A" w:rsidR="0020092D" w:rsidRPr="00120104" w:rsidRDefault="0020092D" w:rsidP="00E94472">
      <w:pPr>
        <w:pStyle w:val="ListParagraph"/>
        <w:numPr>
          <w:ilvl w:val="0"/>
          <w:numId w:val="25"/>
        </w:numPr>
        <w:jc w:val="both"/>
        <w:rPr>
          <w:rFonts w:ascii="Deutsche Bank Text" w:hAnsi="Deutsche Bank Text" w:cs="Deutsche Bank Text"/>
          <w:i/>
          <w:iCs/>
          <w:sz w:val="20"/>
          <w:szCs w:val="20"/>
        </w:rPr>
      </w:pPr>
      <w:r w:rsidRPr="00120104">
        <w:rPr>
          <w:rFonts w:ascii="Deutsche Bank Text" w:hAnsi="Deutsche Bank Text" w:cs="Deutsche Bank Text"/>
          <w:i/>
          <w:iCs/>
          <w:sz w:val="20"/>
          <w:szCs w:val="20"/>
        </w:rPr>
        <w:t xml:space="preserve">Swap Referencing Commodity Index </w:t>
      </w:r>
    </w:p>
    <w:p w14:paraId="03C41DEE" w14:textId="77777777" w:rsidR="00E94472" w:rsidRPr="00120104" w:rsidRDefault="00E94472" w:rsidP="00E94472">
      <w:pPr>
        <w:pStyle w:val="ListParagraph"/>
        <w:jc w:val="both"/>
        <w:rPr>
          <w:rFonts w:ascii="Deutsche Bank Text" w:hAnsi="Deutsche Bank Text" w:cs="Deutsche Bank Text"/>
          <w:i/>
          <w:iCs/>
          <w:sz w:val="20"/>
          <w:szCs w:val="20"/>
        </w:rPr>
      </w:pPr>
    </w:p>
    <w:p w14:paraId="55061EEC" w14:textId="34A58895" w:rsidR="0020092D" w:rsidRPr="00120104" w:rsidRDefault="0020092D" w:rsidP="00E94472">
      <w:pPr>
        <w:ind w:left="709"/>
        <w:jc w:val="both"/>
        <w:rPr>
          <w:rFonts w:ascii="Deutsche Bank Text" w:hAnsi="Deutsche Bank Text" w:cs="Deutsche Bank Text"/>
        </w:rPr>
      </w:pPr>
      <w:r w:rsidRPr="00120104">
        <w:rPr>
          <w:rFonts w:ascii="Deutsche Bank Text" w:hAnsi="Deutsche Bank Text" w:cs="Deutsche Bank Text"/>
        </w:rPr>
        <w:t>The Daily Mark is calculated based on the Forward Price Method. The forward level is based on the most recent closing level of each applicable Underlier as of the Calculation Date and an appropriate rate curve, if applicable. The Daily Mark may or may not be discounted to present value based on an appropriate discount curve.</w:t>
      </w:r>
    </w:p>
    <w:p w14:paraId="2FD3E1A0" w14:textId="77777777" w:rsidR="00E94472" w:rsidRPr="00120104" w:rsidRDefault="00E94472" w:rsidP="00E94472">
      <w:pPr>
        <w:jc w:val="both"/>
        <w:rPr>
          <w:rFonts w:ascii="Deutsche Bank Text" w:hAnsi="Deutsche Bank Text" w:cs="Deutsche Bank Text"/>
        </w:rPr>
      </w:pPr>
    </w:p>
    <w:p w14:paraId="4F36DA5F" w14:textId="687491BF" w:rsidR="0020092D" w:rsidRPr="00120104" w:rsidRDefault="0020092D" w:rsidP="00F351EE">
      <w:pPr>
        <w:pStyle w:val="ListParagraph"/>
        <w:numPr>
          <w:ilvl w:val="0"/>
          <w:numId w:val="25"/>
        </w:numPr>
        <w:jc w:val="both"/>
        <w:rPr>
          <w:rFonts w:ascii="Deutsche Bank Text" w:hAnsi="Deutsche Bank Text" w:cs="Deutsche Bank Text"/>
          <w:i/>
          <w:iCs/>
          <w:sz w:val="20"/>
          <w:szCs w:val="20"/>
        </w:rPr>
      </w:pPr>
      <w:r w:rsidRPr="00120104">
        <w:rPr>
          <w:rFonts w:ascii="Deutsche Bank Text" w:hAnsi="Deutsche Bank Text" w:cs="Deutsche Bank Text"/>
          <w:i/>
          <w:iCs/>
          <w:sz w:val="20"/>
          <w:szCs w:val="20"/>
        </w:rPr>
        <w:t xml:space="preserve">European or Asian Option Referencing Physical Commodity, Commodity Futures Contract, Commodity Index or Commodity Swap (Swaption) </w:t>
      </w:r>
    </w:p>
    <w:p w14:paraId="63982644" w14:textId="77777777" w:rsidR="00E94472" w:rsidRPr="00120104" w:rsidRDefault="00E94472" w:rsidP="00E94472">
      <w:pPr>
        <w:pStyle w:val="ListParagraph"/>
        <w:jc w:val="both"/>
        <w:rPr>
          <w:rFonts w:ascii="Deutsche Bank Text" w:hAnsi="Deutsche Bank Text" w:cs="Deutsche Bank Text"/>
          <w:i/>
          <w:iCs/>
          <w:sz w:val="20"/>
          <w:szCs w:val="20"/>
        </w:rPr>
      </w:pPr>
    </w:p>
    <w:p w14:paraId="7C90F9E1" w14:textId="73D0C31B" w:rsidR="0020092D" w:rsidRPr="00120104" w:rsidRDefault="0020092D" w:rsidP="00E94472">
      <w:pPr>
        <w:ind w:left="709"/>
        <w:jc w:val="both"/>
        <w:rPr>
          <w:rFonts w:ascii="Deutsche Bank Text" w:hAnsi="Deutsche Bank Text" w:cs="Deutsche Bank Text"/>
        </w:rPr>
      </w:pPr>
      <w:r w:rsidRPr="00120104">
        <w:rPr>
          <w:rFonts w:ascii="Deutsche Bank Text" w:hAnsi="Deutsche Bank Text" w:cs="Deutsche Bank Text"/>
        </w:rPr>
        <w:t xml:space="preserve">The Daily Mark is calculated based on the Proprietary Model Method. The model is based on an option pricing model that uses as inputs (in addition to an appropriate rate curve) the most recent spot price, settlement price, closing level or value, as applicable, of each applicable Underlier, forward curves and implied volatilities determined as described above for commodity Underliers. </w:t>
      </w:r>
    </w:p>
    <w:p w14:paraId="7FADEC76" w14:textId="77777777" w:rsidR="00E94472" w:rsidRPr="00120104" w:rsidRDefault="00E94472" w:rsidP="00E94472">
      <w:pPr>
        <w:ind w:left="709"/>
        <w:jc w:val="both"/>
        <w:rPr>
          <w:rFonts w:ascii="Deutsche Bank Text" w:hAnsi="Deutsche Bank Text" w:cs="Deutsche Bank Text"/>
        </w:rPr>
      </w:pPr>
    </w:p>
    <w:p w14:paraId="60CF2346" w14:textId="6DCACFCB" w:rsidR="0020092D" w:rsidRPr="00120104" w:rsidRDefault="0020092D" w:rsidP="00E94472">
      <w:pPr>
        <w:pStyle w:val="ListParagraph"/>
        <w:numPr>
          <w:ilvl w:val="0"/>
          <w:numId w:val="19"/>
        </w:numPr>
        <w:jc w:val="both"/>
        <w:rPr>
          <w:rFonts w:ascii="Deutsche Bank Text" w:hAnsi="Deutsche Bank Text" w:cs="Deutsche Bank Text"/>
          <w:sz w:val="20"/>
          <w:szCs w:val="20"/>
          <w:u w:val="single"/>
        </w:rPr>
      </w:pPr>
      <w:r w:rsidRPr="00120104">
        <w:rPr>
          <w:rFonts w:ascii="Deutsche Bank Text" w:hAnsi="Deutsche Bank Text" w:cs="Deutsche Bank Text"/>
          <w:sz w:val="20"/>
          <w:szCs w:val="20"/>
          <w:u w:val="single"/>
        </w:rPr>
        <w:t xml:space="preserve">Credit </w:t>
      </w:r>
    </w:p>
    <w:p w14:paraId="4B5BC870" w14:textId="77777777" w:rsidR="007103C6" w:rsidRPr="00120104" w:rsidRDefault="007103C6" w:rsidP="007103C6">
      <w:pPr>
        <w:pStyle w:val="ListParagraph"/>
        <w:ind w:left="1429"/>
        <w:jc w:val="both"/>
        <w:rPr>
          <w:rFonts w:ascii="Deutsche Bank Text" w:hAnsi="Deutsche Bank Text" w:cs="Deutsche Bank Text"/>
          <w:sz w:val="20"/>
          <w:szCs w:val="20"/>
          <w:u w:val="single"/>
        </w:rPr>
      </w:pPr>
    </w:p>
    <w:p w14:paraId="780626F0" w14:textId="23584EED" w:rsidR="0020092D" w:rsidRPr="00120104" w:rsidRDefault="0020092D" w:rsidP="00E94472">
      <w:pPr>
        <w:pStyle w:val="ListParagraph"/>
        <w:numPr>
          <w:ilvl w:val="0"/>
          <w:numId w:val="26"/>
        </w:numPr>
        <w:jc w:val="both"/>
        <w:rPr>
          <w:rFonts w:ascii="Deutsche Bank Text" w:hAnsi="Deutsche Bank Text" w:cs="Deutsche Bank Text"/>
          <w:i/>
          <w:iCs/>
          <w:sz w:val="20"/>
          <w:szCs w:val="20"/>
        </w:rPr>
      </w:pPr>
      <w:r w:rsidRPr="00120104">
        <w:rPr>
          <w:rFonts w:ascii="Deutsche Bank Text" w:hAnsi="Deutsche Bank Text" w:cs="Deutsche Bank Text"/>
          <w:i/>
          <w:iCs/>
          <w:sz w:val="20"/>
          <w:szCs w:val="20"/>
        </w:rPr>
        <w:t xml:space="preserve"> Credit Default Swap Referencing Corporate, Sovereign or Municipal Index or Security </w:t>
      </w:r>
    </w:p>
    <w:p w14:paraId="47B37276" w14:textId="77777777" w:rsidR="00E94472" w:rsidRPr="00120104" w:rsidRDefault="00E94472" w:rsidP="00E94472">
      <w:pPr>
        <w:pStyle w:val="ListParagraph"/>
        <w:jc w:val="both"/>
        <w:rPr>
          <w:rFonts w:ascii="Deutsche Bank Text" w:hAnsi="Deutsche Bank Text" w:cs="Deutsche Bank Text"/>
          <w:i/>
          <w:iCs/>
          <w:sz w:val="20"/>
          <w:szCs w:val="20"/>
        </w:rPr>
      </w:pPr>
    </w:p>
    <w:p w14:paraId="349C0BF1" w14:textId="1B7BD4FC" w:rsidR="0020092D" w:rsidRPr="00120104" w:rsidRDefault="0020092D" w:rsidP="00E94472">
      <w:pPr>
        <w:ind w:left="709"/>
        <w:jc w:val="both"/>
        <w:rPr>
          <w:rFonts w:ascii="Deutsche Bank Text" w:hAnsi="Deutsche Bank Text" w:cs="Deutsche Bank Text"/>
        </w:rPr>
      </w:pPr>
      <w:r w:rsidRPr="00120104">
        <w:rPr>
          <w:rFonts w:ascii="Deutsche Bank Text" w:hAnsi="Deutsche Bank Text" w:cs="Deutsche Bank Text"/>
        </w:rPr>
        <w:t>The Daily Mark is calculated based on the Proprietary Model Method – CDS Method. For the purpose of determining the implied probability of default (given DB</w:t>
      </w:r>
      <w:r w:rsidR="003E2AF5">
        <w:rPr>
          <w:rFonts w:ascii="Deutsche Bank Text" w:hAnsi="Deutsche Bank Text" w:cs="Deutsche Bank Text"/>
        </w:rPr>
        <w:t>AG</w:t>
      </w:r>
      <w:r w:rsidRPr="00120104">
        <w:rPr>
          <w:rFonts w:ascii="Deutsche Bank Text" w:hAnsi="Deutsche Bank Text" w:cs="Deutsche Bank Text"/>
        </w:rPr>
        <w:t>’s estimated recovery amount), the market prices of the relevant comparable swaps are observed by DB</w:t>
      </w:r>
      <w:r w:rsidR="003E2AF5">
        <w:rPr>
          <w:rFonts w:ascii="Deutsche Bank Text" w:hAnsi="Deutsche Bank Text" w:cs="Deutsche Bank Text"/>
        </w:rPr>
        <w:t>AG</w:t>
      </w:r>
      <w:r w:rsidRPr="00120104">
        <w:rPr>
          <w:rFonts w:ascii="Deutsche Bank Text" w:hAnsi="Deutsche Bank Text" w:cs="Deutsche Bank Text"/>
        </w:rPr>
        <w:t xml:space="preserve"> on the Calculation Date. For tranched or “nth-to-default” Transactions, the assumed future payment determined by the CDS Method is adjusted pursuant to a proprietary copula model, a probabilistic model that takes into account an estimated correlation of defaults among the underlying Reference Entities, which is determined by DB</w:t>
      </w:r>
      <w:r w:rsidR="003E2AF5">
        <w:rPr>
          <w:rFonts w:ascii="Deutsche Bank Text" w:hAnsi="Deutsche Bank Text" w:cs="Deutsche Bank Text"/>
        </w:rPr>
        <w:t>AG</w:t>
      </w:r>
      <w:r w:rsidRPr="00120104">
        <w:rPr>
          <w:rFonts w:ascii="Deutsche Bank Text" w:hAnsi="Deutsche Bank Text" w:cs="Deutsche Bank Text"/>
        </w:rPr>
        <w:t xml:space="preserve">. </w:t>
      </w:r>
    </w:p>
    <w:p w14:paraId="5EDF99F5" w14:textId="77777777" w:rsidR="00E94472" w:rsidRPr="00120104" w:rsidRDefault="00E94472" w:rsidP="00E94472">
      <w:pPr>
        <w:ind w:left="709"/>
        <w:jc w:val="both"/>
        <w:rPr>
          <w:rFonts w:ascii="Deutsche Bank Text" w:hAnsi="Deutsche Bank Text" w:cs="Deutsche Bank Text"/>
        </w:rPr>
      </w:pPr>
    </w:p>
    <w:p w14:paraId="780AEDCF" w14:textId="79B6CEA1" w:rsidR="0020092D" w:rsidRPr="00120104" w:rsidRDefault="0020092D" w:rsidP="0026462A">
      <w:pPr>
        <w:pStyle w:val="ListParagraph"/>
        <w:numPr>
          <w:ilvl w:val="0"/>
          <w:numId w:val="26"/>
        </w:numPr>
        <w:jc w:val="both"/>
        <w:rPr>
          <w:rFonts w:ascii="Deutsche Bank Text" w:hAnsi="Deutsche Bank Text" w:cs="Deutsche Bank Text"/>
          <w:i/>
          <w:iCs/>
          <w:sz w:val="20"/>
          <w:szCs w:val="20"/>
        </w:rPr>
      </w:pPr>
      <w:r w:rsidRPr="00120104">
        <w:rPr>
          <w:rFonts w:ascii="Deutsche Bank Text" w:hAnsi="Deutsche Bank Text" w:cs="Deutsche Bank Text"/>
          <w:i/>
          <w:iCs/>
          <w:sz w:val="20"/>
          <w:szCs w:val="20"/>
        </w:rPr>
        <w:t xml:space="preserve">Credit Default Swaption Referencing Corporate, Sovereign or Municipal Index or Security </w:t>
      </w:r>
    </w:p>
    <w:p w14:paraId="1D93274F" w14:textId="77777777" w:rsidR="004C1ED5" w:rsidRPr="00120104" w:rsidRDefault="004C1ED5" w:rsidP="004C1ED5">
      <w:pPr>
        <w:pStyle w:val="ListParagraph"/>
        <w:jc w:val="both"/>
        <w:rPr>
          <w:rFonts w:ascii="Deutsche Bank Text" w:hAnsi="Deutsche Bank Text" w:cs="Deutsche Bank Text"/>
          <w:i/>
          <w:iCs/>
          <w:sz w:val="20"/>
          <w:szCs w:val="20"/>
        </w:rPr>
      </w:pPr>
    </w:p>
    <w:p w14:paraId="657F81EC" w14:textId="09E6C4AB" w:rsidR="0020092D" w:rsidRPr="00120104" w:rsidRDefault="0020092D" w:rsidP="004C1ED5">
      <w:pPr>
        <w:ind w:left="709"/>
        <w:jc w:val="both"/>
        <w:rPr>
          <w:rFonts w:ascii="Deutsche Bank Text" w:hAnsi="Deutsche Bank Text" w:cs="Deutsche Bank Text"/>
        </w:rPr>
      </w:pPr>
      <w:r w:rsidRPr="00120104">
        <w:rPr>
          <w:rFonts w:ascii="Deutsche Bank Text" w:hAnsi="Deutsche Bank Text" w:cs="Deutsche Bank Text"/>
        </w:rPr>
        <w:t xml:space="preserve">The Daily Mark is calculated based on the Proprietary Model Method. The model is a proprietary probabilistic European option pricing model that incorporates an implied volatility derived from recent or historical prices of market-traded instruments referencing each applicable Underlier as of the Calculation Date, as well as the inputs that are relevant for calculating the Daily Mark with respect to each applicable Underlier. </w:t>
      </w:r>
    </w:p>
    <w:p w14:paraId="08CA2FD2" w14:textId="77777777" w:rsidR="004C1ED5" w:rsidRPr="00120104" w:rsidRDefault="004C1ED5" w:rsidP="004C1ED5">
      <w:pPr>
        <w:ind w:left="709"/>
        <w:jc w:val="both"/>
        <w:rPr>
          <w:rFonts w:ascii="Deutsche Bank Text" w:hAnsi="Deutsche Bank Text" w:cs="Deutsche Bank Text"/>
        </w:rPr>
      </w:pPr>
    </w:p>
    <w:p w14:paraId="3B03E535" w14:textId="1ACC76CD" w:rsidR="0020092D" w:rsidRPr="00120104" w:rsidRDefault="0020092D" w:rsidP="00FA38AD">
      <w:pPr>
        <w:pStyle w:val="ListParagraph"/>
        <w:numPr>
          <w:ilvl w:val="0"/>
          <w:numId w:val="26"/>
        </w:numPr>
        <w:jc w:val="both"/>
        <w:rPr>
          <w:rFonts w:ascii="Deutsche Bank Text" w:hAnsi="Deutsche Bank Text" w:cs="Deutsche Bank Text"/>
          <w:i/>
          <w:iCs/>
          <w:sz w:val="20"/>
          <w:szCs w:val="20"/>
        </w:rPr>
      </w:pPr>
      <w:r w:rsidRPr="00120104">
        <w:rPr>
          <w:rFonts w:ascii="Deutsche Bank Text" w:hAnsi="Deutsche Bank Text" w:cs="Deutsche Bank Text"/>
          <w:i/>
          <w:iCs/>
          <w:sz w:val="20"/>
          <w:szCs w:val="20"/>
        </w:rPr>
        <w:t xml:space="preserve">Total Return Swap Referencing Corporate, Sovereign or Municipal Bond Index or Security </w:t>
      </w:r>
    </w:p>
    <w:p w14:paraId="5D1AA2EE" w14:textId="77777777" w:rsidR="004C1ED5" w:rsidRPr="00120104" w:rsidRDefault="004C1ED5" w:rsidP="004C1ED5">
      <w:pPr>
        <w:pStyle w:val="ListParagraph"/>
        <w:jc w:val="both"/>
        <w:rPr>
          <w:rFonts w:ascii="Deutsche Bank Text" w:hAnsi="Deutsche Bank Text" w:cs="Deutsche Bank Text"/>
          <w:i/>
          <w:iCs/>
          <w:sz w:val="20"/>
          <w:szCs w:val="20"/>
        </w:rPr>
      </w:pPr>
    </w:p>
    <w:p w14:paraId="29394DF3" w14:textId="77777777" w:rsidR="004C1ED5" w:rsidRPr="00120104" w:rsidRDefault="0020092D" w:rsidP="004C1ED5">
      <w:pPr>
        <w:ind w:left="709"/>
        <w:jc w:val="both"/>
        <w:rPr>
          <w:rFonts w:ascii="Deutsche Bank Text" w:hAnsi="Deutsche Bank Text" w:cs="Deutsche Bank Text"/>
        </w:rPr>
      </w:pPr>
      <w:r w:rsidRPr="00120104">
        <w:rPr>
          <w:rFonts w:ascii="Deutsche Bank Text" w:hAnsi="Deutsche Bank Text" w:cs="Deutsche Bank Text"/>
        </w:rPr>
        <w:lastRenderedPageBreak/>
        <w:t xml:space="preserve">The Daily Mark is calculated based on the Forward Price Method. The forward level is based on the most recent closing level of each applicable Underlier as of the Calculation Date and an appropriate rate curve. </w:t>
      </w:r>
    </w:p>
    <w:p w14:paraId="6A755E9D" w14:textId="77777777" w:rsidR="004C1ED5" w:rsidRPr="00120104" w:rsidRDefault="004C1ED5" w:rsidP="004C1ED5">
      <w:pPr>
        <w:ind w:left="709"/>
        <w:jc w:val="both"/>
        <w:rPr>
          <w:rFonts w:ascii="Deutsche Bank Text" w:hAnsi="Deutsche Bank Text" w:cs="Deutsche Bank Text"/>
        </w:rPr>
      </w:pPr>
    </w:p>
    <w:p w14:paraId="3E8DDCAD" w14:textId="5B8A7457" w:rsidR="0020092D" w:rsidRPr="00120104" w:rsidRDefault="0020092D" w:rsidP="004C1ED5">
      <w:pPr>
        <w:pStyle w:val="ListParagraph"/>
        <w:numPr>
          <w:ilvl w:val="0"/>
          <w:numId w:val="26"/>
        </w:numPr>
        <w:jc w:val="both"/>
        <w:rPr>
          <w:rFonts w:ascii="Deutsche Bank Text" w:hAnsi="Deutsche Bank Text" w:cs="Deutsche Bank Text"/>
          <w:i/>
          <w:iCs/>
          <w:sz w:val="20"/>
          <w:szCs w:val="20"/>
        </w:rPr>
      </w:pPr>
      <w:r w:rsidRPr="00120104">
        <w:rPr>
          <w:rFonts w:ascii="Deutsche Bank Text" w:hAnsi="Deutsche Bank Text" w:cs="Deutsche Bank Text"/>
          <w:i/>
          <w:iCs/>
          <w:sz w:val="20"/>
          <w:szCs w:val="20"/>
        </w:rPr>
        <w:t xml:space="preserve">Total Return Swap Referencing One or More Loans </w:t>
      </w:r>
    </w:p>
    <w:p w14:paraId="6D548DE1" w14:textId="77777777" w:rsidR="004C1ED5" w:rsidRPr="00120104" w:rsidRDefault="004C1ED5" w:rsidP="004C1ED5">
      <w:pPr>
        <w:ind w:firstLine="709"/>
        <w:jc w:val="both"/>
        <w:rPr>
          <w:rFonts w:ascii="Deutsche Bank Text" w:hAnsi="Deutsche Bank Text" w:cs="Deutsche Bank Text"/>
          <w:lang w:val="en-US"/>
        </w:rPr>
      </w:pPr>
    </w:p>
    <w:p w14:paraId="6F916E5B" w14:textId="77777777" w:rsidR="004C1ED5" w:rsidRPr="00120104" w:rsidRDefault="0020092D" w:rsidP="004C1ED5">
      <w:pPr>
        <w:ind w:left="720"/>
        <w:jc w:val="both"/>
        <w:rPr>
          <w:rFonts w:ascii="Deutsche Bank Text" w:hAnsi="Deutsche Bank Text" w:cs="Deutsche Bank Text"/>
        </w:rPr>
      </w:pPr>
      <w:r w:rsidRPr="00120104">
        <w:rPr>
          <w:rFonts w:ascii="Deutsche Bank Text" w:hAnsi="Deutsche Bank Text" w:cs="Deutsche Bank Text"/>
        </w:rPr>
        <w:t>The Daily Mark is calculated based on the Forward Price Method. The forward level is based on the most recent closing level of each applicable Underlier as of the Calculation Date and an appropriate rate curve.</w:t>
      </w:r>
    </w:p>
    <w:p w14:paraId="6E05B792" w14:textId="77777777" w:rsidR="004C1ED5" w:rsidRPr="00120104" w:rsidRDefault="004C1ED5" w:rsidP="004C1ED5">
      <w:pPr>
        <w:ind w:left="720"/>
        <w:jc w:val="both"/>
        <w:rPr>
          <w:rFonts w:ascii="Deutsche Bank Text" w:hAnsi="Deutsche Bank Text" w:cs="Deutsche Bank Text"/>
        </w:rPr>
      </w:pPr>
    </w:p>
    <w:p w14:paraId="4378599E" w14:textId="77777777" w:rsidR="004C1ED5" w:rsidRPr="00120104" w:rsidRDefault="004C1ED5" w:rsidP="004C1ED5">
      <w:pPr>
        <w:ind w:left="720"/>
        <w:jc w:val="both"/>
        <w:rPr>
          <w:rFonts w:ascii="Deutsche Bank Text" w:hAnsi="Deutsche Bank Text" w:cs="Deutsche Bank Text"/>
        </w:rPr>
      </w:pPr>
    </w:p>
    <w:p w14:paraId="091ECA29" w14:textId="367D2072" w:rsidR="0020092D" w:rsidRPr="00120104" w:rsidRDefault="0020092D" w:rsidP="00B86F25">
      <w:pPr>
        <w:pStyle w:val="ListParagraph"/>
        <w:numPr>
          <w:ilvl w:val="0"/>
          <w:numId w:val="19"/>
        </w:numPr>
        <w:jc w:val="both"/>
        <w:rPr>
          <w:rFonts w:ascii="Deutsche Bank Text" w:hAnsi="Deutsche Bank Text" w:cs="Deutsche Bank Text"/>
          <w:sz w:val="20"/>
          <w:szCs w:val="20"/>
          <w:u w:val="single"/>
        </w:rPr>
      </w:pPr>
      <w:r w:rsidRPr="00120104">
        <w:rPr>
          <w:rFonts w:ascii="Deutsche Bank Text" w:hAnsi="Deutsche Bank Text" w:cs="Deutsche Bank Text"/>
          <w:sz w:val="20"/>
          <w:szCs w:val="20"/>
          <w:u w:val="single"/>
        </w:rPr>
        <w:t>Securitized Products</w:t>
      </w:r>
    </w:p>
    <w:p w14:paraId="6CCD7F1F" w14:textId="77777777" w:rsidR="00B86F25" w:rsidRPr="00120104" w:rsidRDefault="00B86F25" w:rsidP="00B86F25">
      <w:pPr>
        <w:pStyle w:val="ListParagraph"/>
        <w:ind w:left="1429"/>
        <w:jc w:val="both"/>
        <w:rPr>
          <w:rFonts w:ascii="Deutsche Bank Text" w:hAnsi="Deutsche Bank Text" w:cs="Deutsche Bank Text"/>
          <w:sz w:val="20"/>
          <w:szCs w:val="20"/>
          <w:u w:val="single"/>
        </w:rPr>
      </w:pPr>
    </w:p>
    <w:p w14:paraId="7D3E4D79" w14:textId="2EB480DD" w:rsidR="0020092D" w:rsidRPr="00120104" w:rsidRDefault="0020092D" w:rsidP="00B86F25">
      <w:pPr>
        <w:pStyle w:val="ListParagraph"/>
        <w:numPr>
          <w:ilvl w:val="0"/>
          <w:numId w:val="27"/>
        </w:numPr>
        <w:jc w:val="both"/>
        <w:rPr>
          <w:rFonts w:ascii="Deutsche Bank Text" w:hAnsi="Deutsche Bank Text" w:cs="Deutsche Bank Text"/>
          <w:i/>
          <w:iCs/>
          <w:sz w:val="20"/>
          <w:szCs w:val="20"/>
        </w:rPr>
      </w:pPr>
      <w:r w:rsidRPr="00120104">
        <w:rPr>
          <w:rFonts w:ascii="Deutsche Bank Text" w:hAnsi="Deutsche Bank Text" w:cs="Deutsche Bank Text"/>
          <w:i/>
          <w:iCs/>
          <w:sz w:val="20"/>
          <w:szCs w:val="20"/>
        </w:rPr>
        <w:t xml:space="preserve">Credit Default Swap Referencing Asset-Backed Security Index, Single AssetBacked Security, Loan Index or Single Loan </w:t>
      </w:r>
    </w:p>
    <w:p w14:paraId="16D9AC9A" w14:textId="77777777" w:rsidR="00035873" w:rsidRPr="00120104" w:rsidRDefault="00035873" w:rsidP="00035873">
      <w:pPr>
        <w:pStyle w:val="ListParagraph"/>
        <w:jc w:val="both"/>
        <w:rPr>
          <w:rFonts w:ascii="Deutsche Bank Text" w:hAnsi="Deutsche Bank Text" w:cs="Deutsche Bank Text"/>
          <w:i/>
          <w:iCs/>
          <w:sz w:val="20"/>
          <w:szCs w:val="20"/>
        </w:rPr>
      </w:pPr>
    </w:p>
    <w:p w14:paraId="29C5011C" w14:textId="07605347" w:rsidR="0020092D" w:rsidRPr="00120104" w:rsidRDefault="0020092D" w:rsidP="00035873">
      <w:pPr>
        <w:ind w:left="709"/>
        <w:jc w:val="both"/>
        <w:rPr>
          <w:rFonts w:ascii="Deutsche Bank Text" w:hAnsi="Deutsche Bank Text" w:cs="Deutsche Bank Text"/>
        </w:rPr>
      </w:pPr>
      <w:r w:rsidRPr="00120104">
        <w:rPr>
          <w:rFonts w:ascii="Deutsche Bank Text" w:hAnsi="Deutsche Bank Text" w:cs="Deutsche Bank Text"/>
        </w:rPr>
        <w:t xml:space="preserve">The Daily Mark reflects the mid-point of the most recent closing bid and offer price for comparable swaps or estimates of the closing bid and offer price for comparable swaps based on observations of the closing bid and offer price for correlated products, in each case as of the Calculation Date. For some Transactions, the publisher of an Underlier may collect indicative mid-market prices from participating dealers and publish a resulting amount, which may also be incorporated into the Daily Mark. There are also adjustments for accrued interest and pending cash flows due to pay-downs and associated payments. </w:t>
      </w:r>
    </w:p>
    <w:p w14:paraId="3E894D0F" w14:textId="77777777" w:rsidR="00035873" w:rsidRPr="00120104" w:rsidRDefault="00035873" w:rsidP="00035873">
      <w:pPr>
        <w:ind w:left="709"/>
        <w:jc w:val="both"/>
        <w:rPr>
          <w:rFonts w:ascii="Deutsche Bank Text" w:hAnsi="Deutsche Bank Text" w:cs="Deutsche Bank Text"/>
        </w:rPr>
      </w:pPr>
    </w:p>
    <w:p w14:paraId="05C8475F" w14:textId="35F45DB8" w:rsidR="0020092D" w:rsidRPr="00120104" w:rsidRDefault="0020092D" w:rsidP="00035873">
      <w:pPr>
        <w:pStyle w:val="ListParagraph"/>
        <w:numPr>
          <w:ilvl w:val="0"/>
          <w:numId w:val="27"/>
        </w:numPr>
        <w:jc w:val="both"/>
        <w:rPr>
          <w:rFonts w:ascii="Deutsche Bank Text" w:hAnsi="Deutsche Bank Text" w:cs="Deutsche Bank Text"/>
          <w:i/>
          <w:iCs/>
          <w:sz w:val="20"/>
          <w:szCs w:val="20"/>
        </w:rPr>
      </w:pPr>
      <w:r w:rsidRPr="00120104">
        <w:rPr>
          <w:rFonts w:ascii="Deutsche Bank Text" w:hAnsi="Deutsche Bank Text" w:cs="Deutsche Bank Text"/>
          <w:i/>
          <w:iCs/>
          <w:sz w:val="20"/>
          <w:szCs w:val="20"/>
        </w:rPr>
        <w:t xml:space="preserve">Total Return Swap Referencing Asset-Backed Security Index or Single AssetBacked Security </w:t>
      </w:r>
    </w:p>
    <w:p w14:paraId="1EDD8959" w14:textId="77777777" w:rsidR="00035873" w:rsidRPr="00120104" w:rsidRDefault="00035873" w:rsidP="00035873">
      <w:pPr>
        <w:pStyle w:val="ListParagraph"/>
        <w:jc w:val="both"/>
        <w:rPr>
          <w:rFonts w:ascii="Deutsche Bank Text" w:hAnsi="Deutsche Bank Text" w:cs="Deutsche Bank Text"/>
          <w:i/>
          <w:iCs/>
          <w:sz w:val="20"/>
          <w:szCs w:val="20"/>
        </w:rPr>
      </w:pPr>
    </w:p>
    <w:p w14:paraId="4F7D6386" w14:textId="77777777" w:rsidR="00035873" w:rsidRPr="00120104" w:rsidRDefault="0020092D" w:rsidP="00035873">
      <w:pPr>
        <w:ind w:left="709"/>
        <w:jc w:val="both"/>
        <w:rPr>
          <w:rFonts w:ascii="Deutsche Bank Text" w:hAnsi="Deutsche Bank Text" w:cs="Deutsche Bank Text"/>
        </w:rPr>
      </w:pPr>
      <w:r w:rsidRPr="00120104">
        <w:rPr>
          <w:rFonts w:ascii="Deutsche Bank Text" w:hAnsi="Deutsche Bank Text" w:cs="Deutsche Bank Text"/>
        </w:rPr>
        <w:t xml:space="preserve">The Daily Mark is calculated based on the Forward Price Method. The forward level is based on the most recent closing level of each applicable Underlier as of the Calculation Date and an appropriate rate curve. </w:t>
      </w:r>
    </w:p>
    <w:p w14:paraId="3308E493" w14:textId="77777777" w:rsidR="00035873" w:rsidRPr="00120104" w:rsidRDefault="00035873" w:rsidP="00035873">
      <w:pPr>
        <w:ind w:left="709"/>
        <w:jc w:val="both"/>
        <w:rPr>
          <w:rFonts w:ascii="Deutsche Bank Text" w:hAnsi="Deutsche Bank Text" w:cs="Deutsche Bank Text"/>
        </w:rPr>
      </w:pPr>
    </w:p>
    <w:p w14:paraId="44F88278" w14:textId="60997147" w:rsidR="0020092D" w:rsidRPr="00120104" w:rsidRDefault="0020092D" w:rsidP="00035873">
      <w:pPr>
        <w:pStyle w:val="ListParagraph"/>
        <w:numPr>
          <w:ilvl w:val="0"/>
          <w:numId w:val="27"/>
        </w:numPr>
        <w:jc w:val="both"/>
        <w:rPr>
          <w:rFonts w:ascii="Deutsche Bank Text" w:hAnsi="Deutsche Bank Text" w:cs="Deutsche Bank Text"/>
          <w:i/>
          <w:iCs/>
          <w:sz w:val="20"/>
          <w:szCs w:val="20"/>
        </w:rPr>
      </w:pPr>
      <w:r w:rsidRPr="00120104">
        <w:rPr>
          <w:rFonts w:ascii="Deutsche Bank Text" w:hAnsi="Deutsche Bank Text" w:cs="Deutsche Bank Text"/>
          <w:i/>
          <w:iCs/>
          <w:sz w:val="20"/>
          <w:szCs w:val="20"/>
        </w:rPr>
        <w:t xml:space="preserve">Balance Guaranteed Swap </w:t>
      </w:r>
    </w:p>
    <w:p w14:paraId="6413019E" w14:textId="77777777" w:rsidR="00035873" w:rsidRPr="00120104" w:rsidRDefault="00035873" w:rsidP="00035873">
      <w:pPr>
        <w:ind w:firstLine="709"/>
        <w:jc w:val="both"/>
        <w:rPr>
          <w:rFonts w:ascii="Deutsche Bank Text" w:hAnsi="Deutsche Bank Text" w:cs="Deutsche Bank Text"/>
        </w:rPr>
      </w:pPr>
    </w:p>
    <w:p w14:paraId="4609A01F" w14:textId="7FF4631C" w:rsidR="0020092D" w:rsidRPr="00120104" w:rsidRDefault="0020092D" w:rsidP="00035873">
      <w:pPr>
        <w:ind w:left="709"/>
        <w:jc w:val="both"/>
        <w:rPr>
          <w:rFonts w:ascii="Deutsche Bank Text" w:hAnsi="Deutsche Bank Text" w:cs="Deutsche Bank Text"/>
        </w:rPr>
      </w:pPr>
      <w:r w:rsidRPr="00120104">
        <w:rPr>
          <w:rFonts w:ascii="Deutsche Bank Text" w:hAnsi="Deutsche Bank Text" w:cs="Deutsche Bank Text"/>
        </w:rPr>
        <w:t xml:space="preserve">The Daily Mark is calculated based on the Proprietary Model Method. For purposes of determining an assumed value for the applicable foreign exchange rate, a forward exchange rate is calculated in the manner described above under “2. Foreign Exchange – a. Foreign Exchange Swap or Foreign Exchange Forward (including non-deliverable)”. The relevant model incorporates (in addition to the forward exchange rate and other factors) estimates of </w:t>
      </w:r>
    </w:p>
    <w:p w14:paraId="0C62E656" w14:textId="7B6BA41E" w:rsidR="0020092D" w:rsidRPr="00120104" w:rsidRDefault="0020092D" w:rsidP="00035873">
      <w:pPr>
        <w:ind w:left="709"/>
        <w:jc w:val="both"/>
        <w:rPr>
          <w:rFonts w:ascii="Deutsche Bank Text" w:hAnsi="Deutsche Bank Text" w:cs="Deutsche Bank Text"/>
        </w:rPr>
      </w:pPr>
      <w:r w:rsidRPr="00120104">
        <w:rPr>
          <w:rFonts w:ascii="Deutsche Bank Text" w:hAnsi="Deutsche Bank Text" w:cs="Deutsche Bank Text"/>
        </w:rPr>
        <w:t>amortization rates, the volatility of amortization rates, the volatility of the applicable interest rate on the Underlier and the correlation between amortization rates and such interest rate, in each case as determined by DB</w:t>
      </w:r>
      <w:r w:rsidR="003E2AF5">
        <w:rPr>
          <w:rFonts w:ascii="Deutsche Bank Text" w:hAnsi="Deutsche Bank Text" w:cs="Deutsche Bank Text"/>
        </w:rPr>
        <w:t>AG</w:t>
      </w:r>
      <w:r w:rsidRPr="00120104">
        <w:rPr>
          <w:rFonts w:ascii="Deutsche Bank Text" w:hAnsi="Deutsche Bank Text" w:cs="Deutsche Bank Text"/>
        </w:rPr>
        <w:t xml:space="preserve"> as of the Calculation Date. </w:t>
      </w:r>
    </w:p>
    <w:p w14:paraId="4A6672F2" w14:textId="77777777" w:rsidR="00035873" w:rsidRPr="00120104" w:rsidRDefault="00035873" w:rsidP="00035873">
      <w:pPr>
        <w:ind w:left="709"/>
        <w:jc w:val="both"/>
        <w:rPr>
          <w:rFonts w:ascii="Deutsche Bank Text" w:hAnsi="Deutsche Bank Text" w:cs="Deutsche Bank Text"/>
        </w:rPr>
      </w:pPr>
    </w:p>
    <w:p w14:paraId="492B37E6" w14:textId="6556BC84" w:rsidR="0020092D" w:rsidRPr="00120104" w:rsidRDefault="0020092D" w:rsidP="00035873">
      <w:pPr>
        <w:pStyle w:val="ListParagraph"/>
        <w:numPr>
          <w:ilvl w:val="0"/>
          <w:numId w:val="19"/>
        </w:numPr>
        <w:jc w:val="both"/>
        <w:rPr>
          <w:rFonts w:ascii="Deutsche Bank Text" w:hAnsi="Deutsche Bank Text" w:cs="Deutsche Bank Text"/>
          <w:sz w:val="20"/>
          <w:szCs w:val="20"/>
          <w:u w:val="single"/>
        </w:rPr>
      </w:pPr>
      <w:r w:rsidRPr="00120104">
        <w:rPr>
          <w:rFonts w:ascii="Deutsche Bank Text" w:hAnsi="Deutsche Bank Text" w:cs="Deutsche Bank Text"/>
          <w:sz w:val="20"/>
          <w:szCs w:val="20"/>
          <w:u w:val="single"/>
        </w:rPr>
        <w:t xml:space="preserve">Interest Rate </w:t>
      </w:r>
    </w:p>
    <w:p w14:paraId="2C07F3F6" w14:textId="77777777" w:rsidR="00035873" w:rsidRPr="00120104" w:rsidRDefault="00035873" w:rsidP="00035873">
      <w:pPr>
        <w:pStyle w:val="ListParagraph"/>
        <w:ind w:left="1429"/>
        <w:jc w:val="both"/>
        <w:rPr>
          <w:rFonts w:ascii="Deutsche Bank Text" w:hAnsi="Deutsche Bank Text" w:cs="Deutsche Bank Text"/>
          <w:sz w:val="20"/>
          <w:szCs w:val="20"/>
          <w:u w:val="single"/>
        </w:rPr>
      </w:pPr>
    </w:p>
    <w:p w14:paraId="1A0C5769" w14:textId="46741DB8" w:rsidR="0020092D" w:rsidRPr="00120104" w:rsidRDefault="0020092D" w:rsidP="00035873">
      <w:pPr>
        <w:pStyle w:val="ListParagraph"/>
        <w:numPr>
          <w:ilvl w:val="0"/>
          <w:numId w:val="28"/>
        </w:numPr>
        <w:jc w:val="both"/>
        <w:rPr>
          <w:rFonts w:ascii="Deutsche Bank Text" w:hAnsi="Deutsche Bank Text" w:cs="Deutsche Bank Text"/>
          <w:i/>
          <w:iCs/>
          <w:sz w:val="20"/>
          <w:szCs w:val="20"/>
        </w:rPr>
      </w:pPr>
      <w:r w:rsidRPr="00120104">
        <w:rPr>
          <w:rFonts w:ascii="Deutsche Bank Text" w:hAnsi="Deutsche Bank Text" w:cs="Deutsche Bank Text"/>
          <w:i/>
          <w:iCs/>
          <w:sz w:val="20"/>
          <w:szCs w:val="20"/>
        </w:rPr>
        <w:t xml:space="preserve">Interest Rate Swap or Forward Rate Agreement </w:t>
      </w:r>
    </w:p>
    <w:p w14:paraId="2405282F" w14:textId="77777777" w:rsidR="00035873" w:rsidRPr="00120104" w:rsidRDefault="00035873" w:rsidP="00035873">
      <w:pPr>
        <w:pStyle w:val="ListParagraph"/>
        <w:jc w:val="both"/>
        <w:rPr>
          <w:rFonts w:ascii="Deutsche Bank Text" w:hAnsi="Deutsche Bank Text" w:cs="Deutsche Bank Text"/>
          <w:i/>
          <w:iCs/>
          <w:sz w:val="20"/>
          <w:szCs w:val="20"/>
        </w:rPr>
      </w:pPr>
    </w:p>
    <w:p w14:paraId="4205E863" w14:textId="67BDCCF9" w:rsidR="0020092D" w:rsidRPr="00120104" w:rsidRDefault="0020092D" w:rsidP="00035873">
      <w:pPr>
        <w:ind w:left="709"/>
        <w:jc w:val="both"/>
        <w:rPr>
          <w:rFonts w:ascii="Deutsche Bank Text" w:hAnsi="Deutsche Bank Text" w:cs="Deutsche Bank Text"/>
        </w:rPr>
      </w:pPr>
      <w:r w:rsidRPr="00120104">
        <w:rPr>
          <w:rFonts w:ascii="Deutsche Bank Text" w:hAnsi="Deutsche Bank Text" w:cs="Deutsche Bank Text"/>
        </w:rPr>
        <w:t>The Daily Mark is calculated based on an assumed value for the relevant OIS, SOFR and Treasury measure in the future, which is determined by reference to an OIS and SOFR forward curve constructed by DB</w:t>
      </w:r>
      <w:r w:rsidR="003E2AF5">
        <w:rPr>
          <w:rFonts w:ascii="Deutsche Bank Text" w:hAnsi="Deutsche Bank Text" w:cs="Deutsche Bank Text"/>
        </w:rPr>
        <w:t>AG</w:t>
      </w:r>
      <w:r w:rsidRPr="00120104">
        <w:rPr>
          <w:rFonts w:ascii="Deutsche Bank Text" w:hAnsi="Deutsche Bank Text" w:cs="Deutsche Bank Text"/>
        </w:rPr>
        <w:t xml:space="preserve"> based on recent prices of market-traded instruments referencing the Underlier as of the Calculation Date, with seasonality adjustments based on historical trends.</w:t>
      </w:r>
    </w:p>
    <w:p w14:paraId="0838C2CF" w14:textId="77777777" w:rsidR="00035873" w:rsidRPr="00120104" w:rsidRDefault="00035873" w:rsidP="00035873">
      <w:pPr>
        <w:ind w:left="709"/>
        <w:jc w:val="both"/>
        <w:rPr>
          <w:rFonts w:ascii="Deutsche Bank Text" w:hAnsi="Deutsche Bank Text" w:cs="Deutsche Bank Text"/>
        </w:rPr>
      </w:pPr>
    </w:p>
    <w:p w14:paraId="77B0FC39" w14:textId="47C5D849" w:rsidR="0020092D" w:rsidRPr="00120104" w:rsidRDefault="0020092D" w:rsidP="00035873">
      <w:pPr>
        <w:pStyle w:val="ListParagraph"/>
        <w:numPr>
          <w:ilvl w:val="0"/>
          <w:numId w:val="28"/>
        </w:numPr>
        <w:jc w:val="both"/>
        <w:rPr>
          <w:rFonts w:ascii="Deutsche Bank Text" w:hAnsi="Deutsche Bank Text" w:cs="Deutsche Bank Text"/>
          <w:i/>
          <w:iCs/>
          <w:sz w:val="20"/>
          <w:szCs w:val="20"/>
        </w:rPr>
      </w:pPr>
      <w:r w:rsidRPr="00120104">
        <w:rPr>
          <w:rFonts w:ascii="Deutsche Bank Text" w:hAnsi="Deutsche Bank Text" w:cs="Deutsche Bank Text"/>
          <w:i/>
          <w:iCs/>
          <w:sz w:val="20"/>
          <w:szCs w:val="20"/>
        </w:rPr>
        <w:t xml:space="preserve"> Interest Rate Swaption, Swaption Straddle, Cap, Floor or Collar </w:t>
      </w:r>
    </w:p>
    <w:p w14:paraId="4CFC1749" w14:textId="77777777" w:rsidR="00035873" w:rsidRPr="00120104" w:rsidRDefault="00035873" w:rsidP="0020092D">
      <w:pPr>
        <w:jc w:val="both"/>
        <w:rPr>
          <w:rFonts w:ascii="Deutsche Bank Text" w:hAnsi="Deutsche Bank Text" w:cs="Deutsche Bank Text"/>
        </w:rPr>
      </w:pPr>
    </w:p>
    <w:p w14:paraId="49A69B3D" w14:textId="5962079D" w:rsidR="0020092D" w:rsidRPr="00120104" w:rsidRDefault="0020092D" w:rsidP="00035873">
      <w:pPr>
        <w:ind w:left="709"/>
        <w:jc w:val="both"/>
        <w:rPr>
          <w:rFonts w:ascii="Deutsche Bank Text" w:hAnsi="Deutsche Bank Text" w:cs="Deutsche Bank Text"/>
        </w:rPr>
      </w:pPr>
      <w:r w:rsidRPr="00120104">
        <w:rPr>
          <w:rFonts w:ascii="Deutsche Bank Text" w:hAnsi="Deutsche Bank Text" w:cs="Deutsche Bank Text"/>
        </w:rPr>
        <w:lastRenderedPageBreak/>
        <w:t>The Daily Mark is calculated based on the Proprietary Model Method. A BlackScholes interest rate option model is used in conjunction with a SABR-based volatility model fitted to recent prices of market-traded interest rate options.</w:t>
      </w:r>
      <w:r w:rsidR="00035873" w:rsidRPr="00120104">
        <w:rPr>
          <w:rFonts w:ascii="Deutsche Bank Text" w:hAnsi="Deutsche Bank Text" w:cs="Deutsche Bank Text"/>
        </w:rPr>
        <w:t xml:space="preserve"> </w:t>
      </w:r>
    </w:p>
    <w:p w14:paraId="23EA407F" w14:textId="77777777" w:rsidR="00035873" w:rsidRPr="00120104" w:rsidRDefault="00035873" w:rsidP="00035873">
      <w:pPr>
        <w:ind w:firstLine="709"/>
        <w:jc w:val="both"/>
        <w:rPr>
          <w:rFonts w:ascii="Deutsche Bank Text" w:hAnsi="Deutsche Bank Text" w:cs="Deutsche Bank Text"/>
        </w:rPr>
      </w:pPr>
    </w:p>
    <w:p w14:paraId="179E5E76" w14:textId="279CA2F1" w:rsidR="0020092D" w:rsidRPr="00120104" w:rsidRDefault="0020092D" w:rsidP="00035873">
      <w:pPr>
        <w:pStyle w:val="ListParagraph"/>
        <w:numPr>
          <w:ilvl w:val="0"/>
          <w:numId w:val="28"/>
        </w:numPr>
        <w:jc w:val="both"/>
        <w:rPr>
          <w:rFonts w:ascii="Deutsche Bank Text" w:hAnsi="Deutsche Bank Text" w:cs="Deutsche Bank Text"/>
          <w:sz w:val="20"/>
          <w:szCs w:val="20"/>
        </w:rPr>
      </w:pPr>
      <w:r w:rsidRPr="00120104">
        <w:rPr>
          <w:rFonts w:ascii="Deutsche Bank Text" w:hAnsi="Deutsche Bank Text" w:cs="Deutsche Bank Text"/>
          <w:i/>
          <w:iCs/>
          <w:sz w:val="20"/>
          <w:szCs w:val="20"/>
        </w:rPr>
        <w:t xml:space="preserve">Inflation Swaps </w:t>
      </w:r>
    </w:p>
    <w:p w14:paraId="5986F922" w14:textId="77777777" w:rsidR="00035873" w:rsidRPr="00120104" w:rsidRDefault="00035873" w:rsidP="00035873">
      <w:pPr>
        <w:pStyle w:val="ListParagraph"/>
        <w:jc w:val="both"/>
        <w:rPr>
          <w:rFonts w:ascii="Deutsche Bank Text" w:hAnsi="Deutsche Bank Text" w:cs="Deutsche Bank Text"/>
          <w:sz w:val="20"/>
          <w:szCs w:val="20"/>
        </w:rPr>
      </w:pPr>
    </w:p>
    <w:p w14:paraId="36882335" w14:textId="6A2018B6" w:rsidR="0020092D" w:rsidRDefault="0020092D" w:rsidP="00035873">
      <w:pPr>
        <w:ind w:left="709"/>
        <w:jc w:val="both"/>
        <w:rPr>
          <w:rFonts w:ascii="Deutsche Bank Text" w:hAnsi="Deutsche Bank Text" w:cs="Deutsche Bank Text"/>
        </w:rPr>
      </w:pPr>
      <w:r w:rsidRPr="00120104">
        <w:rPr>
          <w:rFonts w:ascii="Deutsche Bank Text" w:hAnsi="Deutsche Bank Text" w:cs="Deutsche Bank Text"/>
        </w:rPr>
        <w:t>The Daily Mark is calculated based on an assumed value for the relevant inflation measure in the future, which is determined by reference to an inflation forward curve constructed by DB</w:t>
      </w:r>
      <w:r w:rsidR="003E2AF5">
        <w:rPr>
          <w:rFonts w:ascii="Deutsche Bank Text" w:hAnsi="Deutsche Bank Text" w:cs="Deutsche Bank Text"/>
        </w:rPr>
        <w:t>AG</w:t>
      </w:r>
      <w:r w:rsidRPr="00120104">
        <w:rPr>
          <w:rFonts w:ascii="Deutsche Bank Text" w:hAnsi="Deutsche Bank Text" w:cs="Deutsche Bank Text"/>
        </w:rPr>
        <w:t xml:space="preserve"> based on recent prices of market-traded instruments referencing the Underlier as of the Calculation Date, with seasonality adjustments based on Totem.</w:t>
      </w:r>
    </w:p>
    <w:p w14:paraId="11946005" w14:textId="77777777" w:rsidR="003E2AF5" w:rsidRPr="00120104" w:rsidRDefault="003E2AF5" w:rsidP="00035873">
      <w:pPr>
        <w:ind w:left="709"/>
        <w:jc w:val="both"/>
        <w:rPr>
          <w:rFonts w:ascii="Deutsche Bank Text" w:hAnsi="Deutsche Bank Text" w:cs="Deutsche Bank Text"/>
        </w:rPr>
      </w:pPr>
    </w:p>
    <w:p w14:paraId="1FBB713D" w14:textId="1391503B" w:rsidR="0020092D" w:rsidRPr="00120104" w:rsidRDefault="0020092D" w:rsidP="00035873">
      <w:pPr>
        <w:pStyle w:val="ListParagraph"/>
        <w:numPr>
          <w:ilvl w:val="0"/>
          <w:numId w:val="28"/>
        </w:numPr>
        <w:jc w:val="both"/>
        <w:rPr>
          <w:rFonts w:ascii="Deutsche Bank Text" w:hAnsi="Deutsche Bank Text" w:cs="Deutsche Bank Text"/>
          <w:i/>
          <w:iCs/>
          <w:sz w:val="20"/>
          <w:szCs w:val="20"/>
        </w:rPr>
      </w:pPr>
      <w:r w:rsidRPr="00120104">
        <w:rPr>
          <w:rFonts w:ascii="Deutsche Bank Text" w:hAnsi="Deutsche Bank Text" w:cs="Deutsche Bank Text"/>
          <w:i/>
          <w:iCs/>
          <w:sz w:val="20"/>
          <w:szCs w:val="20"/>
        </w:rPr>
        <w:t xml:space="preserve"> Treasury Lock Swaps </w:t>
      </w:r>
    </w:p>
    <w:p w14:paraId="3B3C4BA5" w14:textId="77777777" w:rsidR="00035873" w:rsidRPr="00120104" w:rsidRDefault="00035873" w:rsidP="0020092D">
      <w:pPr>
        <w:jc w:val="both"/>
        <w:rPr>
          <w:rFonts w:ascii="Deutsche Bank Text" w:hAnsi="Deutsche Bank Text" w:cs="Deutsche Bank Text"/>
        </w:rPr>
      </w:pPr>
    </w:p>
    <w:p w14:paraId="3563E245" w14:textId="66BEE1EA" w:rsidR="0020092D" w:rsidRPr="00120104" w:rsidRDefault="0020092D" w:rsidP="00035873">
      <w:pPr>
        <w:ind w:left="709"/>
        <w:jc w:val="both"/>
        <w:rPr>
          <w:rFonts w:ascii="Deutsche Bank Text" w:hAnsi="Deutsche Bank Text" w:cs="Deutsche Bank Text"/>
        </w:rPr>
      </w:pPr>
      <w:r w:rsidRPr="00120104">
        <w:rPr>
          <w:rFonts w:ascii="Deutsche Bank Text" w:hAnsi="Deutsche Bank Text" w:cs="Deutsche Bank Text"/>
        </w:rPr>
        <w:t>The Daily Mark is calculated based on the Forward Price Method. The relevant forward Treasury rate is calculated based on the most recently available spot price of the relevant Treasury rate and an appropriate rate curve, in each case as of the Calculation Date.</w:t>
      </w:r>
    </w:p>
    <w:p w14:paraId="12E4D81F" w14:textId="77777777" w:rsidR="00035873" w:rsidRPr="00120104" w:rsidRDefault="00035873" w:rsidP="00035873">
      <w:pPr>
        <w:ind w:firstLine="709"/>
        <w:jc w:val="both"/>
        <w:rPr>
          <w:rFonts w:ascii="Deutsche Bank Text" w:hAnsi="Deutsche Bank Text" w:cs="Deutsche Bank Text"/>
        </w:rPr>
      </w:pPr>
    </w:p>
    <w:p w14:paraId="53EC3746" w14:textId="34753B35" w:rsidR="0020092D" w:rsidRPr="00120104" w:rsidRDefault="0020092D" w:rsidP="00035873">
      <w:pPr>
        <w:pStyle w:val="ListParagraph"/>
        <w:numPr>
          <w:ilvl w:val="0"/>
          <w:numId w:val="28"/>
        </w:numPr>
        <w:jc w:val="both"/>
        <w:rPr>
          <w:rFonts w:ascii="Deutsche Bank Text" w:hAnsi="Deutsche Bank Text" w:cs="Deutsche Bank Text"/>
          <w:i/>
          <w:iCs/>
          <w:sz w:val="20"/>
          <w:szCs w:val="20"/>
        </w:rPr>
      </w:pPr>
      <w:r w:rsidRPr="00D66CC5">
        <w:rPr>
          <w:rFonts w:ascii="Deutsche Bank Text" w:hAnsi="Deutsche Bank Text" w:cs="Deutsche Bank Text"/>
          <w:i/>
          <w:iCs/>
          <w:sz w:val="20"/>
          <w:szCs w:val="20"/>
        </w:rPr>
        <w:t xml:space="preserve">Structured Interest Rate Swaps </w:t>
      </w:r>
    </w:p>
    <w:p w14:paraId="46132227" w14:textId="77777777" w:rsidR="00035873" w:rsidRPr="00120104" w:rsidRDefault="00035873" w:rsidP="00035873">
      <w:pPr>
        <w:pStyle w:val="ListParagraph"/>
        <w:jc w:val="both"/>
        <w:rPr>
          <w:rFonts w:ascii="Deutsche Bank Text" w:hAnsi="Deutsche Bank Text" w:cs="Deutsche Bank Text"/>
          <w:i/>
          <w:iCs/>
          <w:sz w:val="20"/>
          <w:szCs w:val="20"/>
        </w:rPr>
      </w:pPr>
    </w:p>
    <w:p w14:paraId="740370FC" w14:textId="1DDD0308" w:rsidR="0020092D" w:rsidRPr="00120104" w:rsidRDefault="0020092D" w:rsidP="00120104">
      <w:pPr>
        <w:ind w:left="709"/>
        <w:jc w:val="both"/>
        <w:rPr>
          <w:rFonts w:ascii="Deutsche Bank Text" w:hAnsi="Deutsche Bank Text" w:cs="Deutsche Bank Text"/>
        </w:rPr>
      </w:pPr>
      <w:r w:rsidRPr="00120104">
        <w:rPr>
          <w:rFonts w:ascii="Deutsche Bank Text" w:hAnsi="Deutsche Bank Text" w:cs="Deutsche Bank Text"/>
        </w:rPr>
        <w:t>The Daily Mark is calculated based on the Proprietary Model Method. Assumed future payments are derived from a probabilistic model using a probability distribution implied from recent prices of market-traded interest rate options. In some cases, the model may take into account estimated correlation between interest rates of different terms, we mark to market observable prices / structures (not just determined by DB</w:t>
      </w:r>
      <w:r w:rsidR="004F44EF">
        <w:rPr>
          <w:rFonts w:ascii="Deutsche Bank Text" w:hAnsi="Deutsche Bank Text" w:cs="Deutsche Bank Text"/>
        </w:rPr>
        <w:t>AG</w:t>
      </w:r>
      <w:r w:rsidRPr="00120104">
        <w:rPr>
          <w:rFonts w:ascii="Deutsche Bank Text" w:hAnsi="Deutsche Bank Text" w:cs="Deutsche Bank Text"/>
        </w:rPr>
        <w:t>).</w:t>
      </w:r>
    </w:p>
    <w:sectPr w:rsidR="0020092D" w:rsidRPr="00120104" w:rsidSect="00D66CC5">
      <w:headerReference w:type="default" r:id="rId12"/>
      <w:footerReference w:type="even" r:id="rId13"/>
      <w:footerReference w:type="default" r:id="rId14"/>
      <w:headerReference w:type="first" r:id="rId15"/>
      <w:footerReference w:type="first" r:id="rId16"/>
      <w:pgSz w:w="11906" w:h="16838" w:code="9"/>
      <w:pgMar w:top="1440" w:right="1440" w:bottom="1440" w:left="144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F8D3C" w14:textId="77777777" w:rsidR="009C4FD4" w:rsidRDefault="009C4FD4">
      <w:r>
        <w:separator/>
      </w:r>
    </w:p>
  </w:endnote>
  <w:endnote w:type="continuationSeparator" w:id="0">
    <w:p w14:paraId="7CA80BFC" w14:textId="77777777" w:rsidR="009C4FD4" w:rsidRDefault="009C4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utsche Bank Text">
    <w:panose1 w:val="020B0503020202030204"/>
    <w:charset w:val="00"/>
    <w:family w:val="swiss"/>
    <w:pitch w:val="variable"/>
    <w:sig w:usb0="A000006F" w:usb1="0000006B" w:usb2="00000028" w:usb3="00000000" w:csb0="00000001" w:csb1="00000000"/>
  </w:font>
  <w:font w:name="DeutscheBank">
    <w:altName w:val="Calibri"/>
    <w:panose1 w:val="020B0503020202030204"/>
    <w:charset w:val="00"/>
    <w:family w:val="swiss"/>
    <w:pitch w:val="variable"/>
    <w:sig w:usb0="A00002EF" w:usb1="4000003B" w:usb2="00000020" w:usb3="00000000" w:csb0="0000009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BAE0D" w14:textId="3A1A997D" w:rsidR="001B2009" w:rsidRDefault="001B2009">
    <w:pPr>
      <w:pStyle w:val="Footer"/>
    </w:pPr>
    <w:r>
      <mc:AlternateContent>
        <mc:Choice Requires="wps">
          <w:drawing>
            <wp:anchor distT="0" distB="0" distL="0" distR="0" simplePos="0" relativeHeight="251656704" behindDoc="0" locked="0" layoutInCell="1" allowOverlap="1" wp14:anchorId="297F22D5" wp14:editId="33A3E1E2">
              <wp:simplePos x="635" y="635"/>
              <wp:positionH relativeFrom="page">
                <wp:align>center</wp:align>
              </wp:positionH>
              <wp:positionV relativeFrom="page">
                <wp:align>bottom</wp:align>
              </wp:positionV>
              <wp:extent cx="29210" cy="345440"/>
              <wp:effectExtent l="0" t="0" r="8890" b="0"/>
              <wp:wrapNone/>
              <wp:docPr id="2107970119" name="Text Box 2" desc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9210" cy="345440"/>
                      </a:xfrm>
                      <a:prstGeom prst="rect">
                        <a:avLst/>
                      </a:prstGeom>
                      <a:noFill/>
                      <a:ln>
                        <a:noFill/>
                      </a:ln>
                    </wps:spPr>
                    <wps:txbx>
                      <w:txbxContent>
                        <w:p w14:paraId="0AE80AC8" w14:textId="02F2437F" w:rsidR="001B2009" w:rsidRPr="001B2009" w:rsidRDefault="001B2009" w:rsidP="001B2009">
                          <w:pPr>
                            <w:rPr>
                              <w:rFonts w:ascii="Calibri" w:eastAsia="Calibri" w:hAnsi="Calibri" w:cs="Calibri"/>
                              <w:noProof/>
                              <w:color w:val="000000"/>
                            </w:rPr>
                          </w:pPr>
                          <w:r w:rsidRPr="001B2009">
                            <w:rPr>
                              <w:rFonts w:ascii="Calibri" w:eastAsia="Calibri" w:hAnsi="Calibri" w:cs="Calibri"/>
                              <w:noProof/>
                              <w:color w:val="000000"/>
                            </w:rPr>
                            <w:t xml:space="preserve">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7F22D5" id="_x0000_t202" coordsize="21600,21600" o:spt="202" path="m,l,21600r21600,l21600,xe">
              <v:stroke joinstyle="miter"/>
              <v:path gradientshapeok="t" o:connecttype="rect"/>
            </v:shapetype>
            <v:shape id="Text Box 2" o:spid="_x0000_s1026" type="#_x0000_t202" alt=" " style="position:absolute;margin-left:0;margin-top:0;width:2.3pt;height:27.2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" filled="f" stroked="f">
              <v:textbox style="mso-fit-shape-to-text:t" inset="0,0,0,15pt">
                <w:txbxContent>
                  <w:p w14:paraId="0AE80AC8" w14:textId="02F2437F" w:rsidR="001B2009" w:rsidRPr="001B2009" w:rsidRDefault="001B2009" w:rsidP="001B2009">
                    <w:pPr>
                      <w:rPr>
                        <w:rFonts w:ascii="Calibri" w:eastAsia="Calibri" w:hAnsi="Calibri" w:cs="Calibri"/>
                        <w:noProof/>
                        <w:color w:val="000000"/>
                      </w:rPr>
                    </w:pPr>
                    <w:r w:rsidRPr="001B2009">
                      <w:rPr>
                        <w:rFonts w:ascii="Calibri" w:eastAsia="Calibri" w:hAnsi="Calibri" w:cs="Calibri"/>
                        <w:noProof/>
                        <w:color w:val="00000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751622186"/>
      <w:docPartObj>
        <w:docPartGallery w:val="Page Numbers (Bottom of Page)"/>
        <w:docPartUnique/>
      </w:docPartObj>
    </w:sdtPr>
    <w:sdtEndPr>
      <w:rPr>
        <w:noProof/>
      </w:rPr>
    </w:sdtEndPr>
    <w:sdtContent>
      <w:p w14:paraId="3BE54FC0" w14:textId="1C02D864" w:rsidR="00CD5B62" w:rsidRDefault="00CD5B62">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304C5B0F" w14:textId="77777777" w:rsidR="005F31A3" w:rsidRDefault="005F31A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305193263"/>
      <w:docPartObj>
        <w:docPartGallery w:val="Page Numbers (Bottom of Page)"/>
        <w:docPartUnique/>
      </w:docPartObj>
    </w:sdtPr>
    <w:sdtEndPr>
      <w:rPr>
        <w:noProof/>
      </w:rPr>
    </w:sdtEndPr>
    <w:sdtContent>
      <w:p w14:paraId="6A2F76C5" w14:textId="4F0C5355" w:rsidR="00BD0748" w:rsidRDefault="00BD0748">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55C741ED" w14:textId="77777777" w:rsidR="00A33D49" w:rsidRDefault="00A33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24588" w14:textId="77777777" w:rsidR="009C4FD4" w:rsidRDefault="009C4FD4">
      <w:r>
        <w:separator/>
      </w:r>
    </w:p>
  </w:footnote>
  <w:footnote w:type="continuationSeparator" w:id="0">
    <w:p w14:paraId="3B89623D" w14:textId="77777777" w:rsidR="009C4FD4" w:rsidRDefault="009C4FD4">
      <w:r>
        <w:continuationSeparator/>
      </w:r>
    </w:p>
  </w:footnote>
  <w:footnote w:id="1">
    <w:p w14:paraId="5FC5269A" w14:textId="5592BE15" w:rsidR="00513AFD" w:rsidRPr="00971DD5" w:rsidRDefault="00513AFD" w:rsidP="00513AFD">
      <w:pPr>
        <w:pStyle w:val="FootnoteText"/>
        <w:jc w:val="both"/>
        <w:rPr>
          <w:rFonts w:ascii="Deutsche Bank Text" w:hAnsi="Deutsche Bank Text" w:cs="Deutsche Bank Text"/>
          <w:sz w:val="16"/>
          <w:szCs w:val="16"/>
          <w:lang w:val="en-US"/>
        </w:rPr>
      </w:pPr>
      <w:r w:rsidRPr="00971DD5">
        <w:rPr>
          <w:rStyle w:val="FootnoteReference"/>
          <w:rFonts w:ascii="Deutsche Bank Text" w:hAnsi="Deutsche Bank Text" w:cs="Deutsche Bank Text"/>
          <w:sz w:val="16"/>
          <w:szCs w:val="16"/>
        </w:rPr>
        <w:footnoteRef/>
      </w:r>
      <w:r w:rsidRPr="00971DD5">
        <w:rPr>
          <w:rFonts w:ascii="Deutsche Bank Text" w:hAnsi="Deutsche Bank Text" w:cs="Deutsche Bank Text"/>
          <w:sz w:val="16"/>
          <w:szCs w:val="16"/>
        </w:rPr>
        <w:t xml:space="preserve">  The forward rate for a floating interest rate is based solely on an appropriate rate curve, from which a forward curve is derived (except with respect to Treasury Lock Swaps as described below).</w:t>
      </w:r>
    </w:p>
  </w:footnote>
  <w:footnote w:id="2">
    <w:p w14:paraId="459690D8" w14:textId="267A3A66" w:rsidR="00D42252" w:rsidRPr="00971DD5" w:rsidRDefault="00D42252" w:rsidP="00D42252">
      <w:pPr>
        <w:pStyle w:val="FootnoteText"/>
        <w:jc w:val="both"/>
        <w:rPr>
          <w:rFonts w:ascii="Deutsche Bank Text" w:hAnsi="Deutsche Bank Text" w:cs="Deutsche Bank Text"/>
          <w:sz w:val="16"/>
          <w:szCs w:val="16"/>
          <w:lang w:val="en-US"/>
        </w:rPr>
      </w:pPr>
      <w:r w:rsidRPr="00971DD5">
        <w:rPr>
          <w:rStyle w:val="FootnoteReference"/>
          <w:rFonts w:ascii="Deutsche Bank Text" w:hAnsi="Deutsche Bank Text" w:cs="Deutsche Bank Text"/>
          <w:sz w:val="16"/>
          <w:szCs w:val="16"/>
        </w:rPr>
        <w:footnoteRef/>
      </w:r>
      <w:r w:rsidRPr="00971DD5">
        <w:rPr>
          <w:rFonts w:ascii="Deutsche Bank Text" w:hAnsi="Deutsche Bank Text" w:cs="Deutsche Bank Text"/>
          <w:sz w:val="16"/>
          <w:szCs w:val="16"/>
        </w:rPr>
        <w:t xml:space="preserve">  Each reference to an “index” of securities in this document means any index or basket of securities that is not a “narrow-based security index” as defined under the Securities Exchange Act of 1934, as amended, and each reference to an “index” of loans in this document means any index or basket of two or more loans. </w:t>
      </w:r>
    </w:p>
  </w:footnote>
  <w:footnote w:id="3">
    <w:p w14:paraId="357A718A" w14:textId="561365AB" w:rsidR="00175C93" w:rsidRPr="00971DD5" w:rsidRDefault="00175C93" w:rsidP="003F70CA">
      <w:pPr>
        <w:pStyle w:val="FootnoteText"/>
        <w:jc w:val="both"/>
        <w:rPr>
          <w:rFonts w:ascii="Deutsche Bank Text" w:hAnsi="Deutsche Bank Text" w:cs="Deutsche Bank Text"/>
          <w:lang w:val="en-US"/>
        </w:rPr>
      </w:pPr>
      <w:r w:rsidRPr="00971DD5">
        <w:rPr>
          <w:rStyle w:val="FootnoteReference"/>
          <w:rFonts w:ascii="Deutsche Bank Text" w:hAnsi="Deutsche Bank Text" w:cs="Deutsche Bank Text"/>
          <w:sz w:val="16"/>
          <w:szCs w:val="16"/>
        </w:rPr>
        <w:footnoteRef/>
      </w:r>
      <w:r w:rsidRPr="00971DD5">
        <w:rPr>
          <w:rFonts w:ascii="Deutsche Bank Text" w:hAnsi="Deutsche Bank Text" w:cs="Deutsche Bank Text"/>
          <w:sz w:val="16"/>
          <w:szCs w:val="16"/>
        </w:rPr>
        <w:t xml:space="preserve"> </w:t>
      </w:r>
      <w:r w:rsidR="003F70CA" w:rsidRPr="00971DD5">
        <w:rPr>
          <w:rFonts w:ascii="Deutsche Bank Text" w:hAnsi="Deutsche Bank Text" w:cs="Deutsche Bank Text"/>
          <w:sz w:val="16"/>
          <w:szCs w:val="16"/>
        </w:rPr>
        <w:t>In the case of a Foreign Exchange Transaction, for which two rate curves (one for each applicable currency) are used to determine the forward exchange rate, at least one rate curve will differ from the discount curve.</w:t>
      </w:r>
    </w:p>
  </w:footnote>
  <w:footnote w:id="4">
    <w:p w14:paraId="07204CB8" w14:textId="11A43058" w:rsidR="00E445B5" w:rsidRPr="00E445B5" w:rsidRDefault="00E445B5" w:rsidP="00E445B5">
      <w:pPr>
        <w:pStyle w:val="FootnoteText"/>
        <w:jc w:val="both"/>
        <w:rPr>
          <w:lang w:val="en-US"/>
        </w:rPr>
      </w:pPr>
      <w:r>
        <w:rPr>
          <w:rStyle w:val="FootnoteReference"/>
        </w:rPr>
        <w:footnoteRef/>
      </w:r>
      <w:r>
        <w:t xml:space="preserve">  </w:t>
      </w:r>
      <w:r w:rsidRPr="00E445B5">
        <w:rPr>
          <w:sz w:val="16"/>
          <w:szCs w:val="16"/>
        </w:rPr>
        <w:t>This description includes total return swaps, price return swaps and portfolio swaps and also covers cash-settled forwards referencing an equity index.</w:t>
      </w:r>
    </w:p>
  </w:footnote>
  <w:footnote w:id="5">
    <w:p w14:paraId="160588A6" w14:textId="7B3F77FD" w:rsidR="00E51F08" w:rsidRPr="00E51F08" w:rsidRDefault="00E51F08" w:rsidP="00EF7A86">
      <w:pPr>
        <w:pStyle w:val="FootnoteText"/>
        <w:jc w:val="both"/>
        <w:rPr>
          <w:lang w:val="en-US"/>
        </w:rPr>
      </w:pPr>
      <w:r>
        <w:rPr>
          <w:rStyle w:val="FootnoteReference"/>
        </w:rPr>
        <w:footnoteRef/>
      </w:r>
      <w:r>
        <w:t xml:space="preserve"> </w:t>
      </w:r>
      <w:r w:rsidR="00EF7A86">
        <w:t xml:space="preserve"> </w:t>
      </w:r>
      <w:r w:rsidR="00EF7A86" w:rsidRPr="00EF7A86">
        <w:rPr>
          <w:sz w:val="16"/>
          <w:szCs w:val="16"/>
        </w:rPr>
        <w:t>This description includes total return swaps, price return swaps and portfolio swaps and also covers cash-settled forwards referencing an equity index.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37020" w14:textId="77777777" w:rsidR="005F31A3" w:rsidRDefault="00751015">
    <w:r>
      <w:rPr>
        <w:noProof/>
      </w:rPr>
      <mc:AlternateContent>
        <mc:Choice Requires="wps">
          <w:drawing>
            <wp:anchor distT="0" distB="0" distL="114300" distR="114300" simplePos="0" relativeHeight="251655680" behindDoc="0" locked="0" layoutInCell="1" allowOverlap="1" wp14:anchorId="7CEF4A8B" wp14:editId="030BA1B9">
              <wp:simplePos x="0" y="0"/>
              <wp:positionH relativeFrom="page">
                <wp:posOffset>6661150</wp:posOffset>
              </wp:positionH>
              <wp:positionV relativeFrom="page">
                <wp:posOffset>360045</wp:posOffset>
              </wp:positionV>
              <wp:extent cx="540000" cy="540000"/>
              <wp:effectExtent l="0" t="0" r="0" b="0"/>
              <wp:wrapNone/>
              <wp:docPr id="46" name="Freeform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540000" cy="540000"/>
                      </a:xfrm>
                      <a:custGeom>
                        <a:avLst/>
                        <a:gdLst>
                          <a:gd name="T0" fmla="*/ 505 w 3609"/>
                          <a:gd name="T1" fmla="*/ 505 h 3609"/>
                          <a:gd name="T2" fmla="*/ 505 w 3609"/>
                          <a:gd name="T3" fmla="*/ 3103 h 3609"/>
                          <a:gd name="T4" fmla="*/ 3101 w 3609"/>
                          <a:gd name="T5" fmla="*/ 3103 h 3609"/>
                          <a:gd name="T6" fmla="*/ 3101 w 3609"/>
                          <a:gd name="T7" fmla="*/ 505 h 3609"/>
                          <a:gd name="T8" fmla="*/ 505 w 3609"/>
                          <a:gd name="T9" fmla="*/ 505 h 3609"/>
                          <a:gd name="T10" fmla="*/ 0 w 3609"/>
                          <a:gd name="T11" fmla="*/ 0 h 3609"/>
                          <a:gd name="T12" fmla="*/ 3609 w 3609"/>
                          <a:gd name="T13" fmla="*/ 0 h 3609"/>
                          <a:gd name="T14" fmla="*/ 3609 w 3609"/>
                          <a:gd name="T15" fmla="*/ 3609 h 3609"/>
                          <a:gd name="T16" fmla="*/ 0 w 3609"/>
                          <a:gd name="T17" fmla="*/ 3609 h 3609"/>
                          <a:gd name="T18" fmla="*/ 0 w 3609"/>
                          <a:gd name="T19" fmla="*/ 0 h 3609"/>
                          <a:gd name="T20" fmla="*/ 795 w 3609"/>
                          <a:gd name="T21" fmla="*/ 2745 h 3609"/>
                          <a:gd name="T22" fmla="*/ 2166 w 3609"/>
                          <a:gd name="T23" fmla="*/ 866 h 3609"/>
                          <a:gd name="T24" fmla="*/ 2814 w 3609"/>
                          <a:gd name="T25" fmla="*/ 866 h 3609"/>
                          <a:gd name="T26" fmla="*/ 1443 w 3609"/>
                          <a:gd name="T27" fmla="*/ 2745 h 3609"/>
                          <a:gd name="T28" fmla="*/ 795 w 3609"/>
                          <a:gd name="T29" fmla="*/ 2745 h 3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609" h="3609">
                            <a:moveTo>
                              <a:pt x="505" y="505"/>
                            </a:moveTo>
                            <a:lnTo>
                              <a:pt x="505" y="3103"/>
                            </a:lnTo>
                            <a:lnTo>
                              <a:pt x="3101" y="3103"/>
                            </a:lnTo>
                            <a:lnTo>
                              <a:pt x="3101" y="505"/>
                            </a:lnTo>
                            <a:lnTo>
                              <a:pt x="505" y="505"/>
                            </a:lnTo>
                            <a:close/>
                            <a:moveTo>
                              <a:pt x="0" y="0"/>
                            </a:moveTo>
                            <a:lnTo>
                              <a:pt x="3609" y="0"/>
                            </a:lnTo>
                            <a:lnTo>
                              <a:pt x="3609" y="3609"/>
                            </a:lnTo>
                            <a:lnTo>
                              <a:pt x="0" y="3609"/>
                            </a:lnTo>
                            <a:lnTo>
                              <a:pt x="0" y="0"/>
                            </a:lnTo>
                            <a:close/>
                            <a:moveTo>
                              <a:pt x="795" y="2745"/>
                            </a:moveTo>
                            <a:lnTo>
                              <a:pt x="2166" y="866"/>
                            </a:lnTo>
                            <a:lnTo>
                              <a:pt x="2814" y="866"/>
                            </a:lnTo>
                            <a:lnTo>
                              <a:pt x="1443" y="2745"/>
                            </a:lnTo>
                            <a:lnTo>
                              <a:pt x="795" y="2745"/>
                            </a:lnTo>
                            <a:close/>
                          </a:path>
                        </a:pathLst>
                      </a:cu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7B703" id="Freeform 68" o:spid="_x0000_s1026" alt="&quot;&quot;" style="position:absolute;margin-left:524.5pt;margin-top:28.35pt;width:42.5pt;height:4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60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" path="m505,505r,2598l3101,3103r,-2598l505,505xm,l3609,r,3609l,3609,,xm795,2745l2166,866r648,l1443,2745r-648,xe" fillcolor="#1e2a78 [3204]" stroked="f">
              <v:path arrowok="t" o:connecttype="custom" o:connectlocs="75561,75561;75561,464289;463990,464289;463990,75561;75561,75561;0,0;540000,0;540000,540000;0,540000;0,0;118953,410723;324090,129576;421047,129576;215910,410723;118953,410723" o:connectangles="0,0,0,0,0,0,0,0,0,0,0,0,0,0,0"/>
              <o:lock v:ext="edit" aspectratio="t" verticies="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57A2" w14:textId="56BDAD9B" w:rsidR="006F256B" w:rsidRPr="009B7ADF" w:rsidRDefault="009C4FD4" w:rsidP="006F256B">
    <w:pPr>
      <w:pStyle w:val="Identifier"/>
      <w:rPr>
        <w:b/>
        <w:bCs/>
      </w:rPr>
    </w:pPr>
    <w:sdt>
      <w:sdtPr>
        <w:rPr>
          <w:b/>
          <w:bCs/>
        </w:rPr>
        <w:id w:val="-1955393141"/>
        <w:docPartObj>
          <w:docPartGallery w:val="Watermarks"/>
          <w:docPartUnique/>
        </w:docPartObj>
      </w:sdtPr>
      <w:sdtEndPr/>
      <w:sdtContent>
        <w:r>
          <w:rPr>
            <w:b/>
            <w:bCs/>
          </w:rPr>
          <w:pict w14:anchorId="5838F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F256B" w:rsidRPr="009B7ADF">
      <w:rPr>
        <w:b/>
        <w:bCs/>
      </w:rPr>
      <w:t>Deutsche Bank</w:t>
    </w:r>
    <w:r w:rsidR="006F256B" w:rsidRPr="009B7ADF">
      <w:rPr>
        <w:b/>
        <w:bCs/>
      </w:rPr>
      <w:br/>
    </w:r>
    <w:r w:rsidR="006F256B" w:rsidRPr="00BD7419">
      <w:rPr>
        <w:b/>
        <w:bCs/>
      </w:rPr>
      <w:t xml:space="preserve"> </w:t>
    </w:r>
    <w:r w:rsidR="006F256B" w:rsidRPr="00E66775">
      <mc:AlternateContent>
        <mc:Choice Requires="wps">
          <w:drawing>
            <wp:anchor distT="0" distB="0" distL="114300" distR="114300" simplePos="0" relativeHeight="251658752" behindDoc="0" locked="1" layoutInCell="1" allowOverlap="1" wp14:anchorId="6056BF5C" wp14:editId="7AF820A2">
              <wp:simplePos x="0" y="0"/>
              <wp:positionH relativeFrom="page">
                <wp:posOffset>6661150</wp:posOffset>
              </wp:positionH>
              <wp:positionV relativeFrom="page">
                <wp:posOffset>360045</wp:posOffset>
              </wp:positionV>
              <wp:extent cx="540000" cy="540000"/>
              <wp:effectExtent l="0" t="0" r="0" b="0"/>
              <wp:wrapNone/>
              <wp:docPr id="3" name="Freeform 31" descr="Deutsche Bank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540000" cy="540000"/>
                      </a:xfrm>
                      <a:custGeom>
                        <a:avLst/>
                        <a:gdLst>
                          <a:gd name="T0" fmla="*/ 505 w 3609"/>
                          <a:gd name="T1" fmla="*/ 505 h 3609"/>
                          <a:gd name="T2" fmla="*/ 505 w 3609"/>
                          <a:gd name="T3" fmla="*/ 3103 h 3609"/>
                          <a:gd name="T4" fmla="*/ 3101 w 3609"/>
                          <a:gd name="T5" fmla="*/ 3103 h 3609"/>
                          <a:gd name="T6" fmla="*/ 3101 w 3609"/>
                          <a:gd name="T7" fmla="*/ 505 h 3609"/>
                          <a:gd name="T8" fmla="*/ 505 w 3609"/>
                          <a:gd name="T9" fmla="*/ 505 h 3609"/>
                          <a:gd name="T10" fmla="*/ 0 w 3609"/>
                          <a:gd name="T11" fmla="*/ 0 h 3609"/>
                          <a:gd name="T12" fmla="*/ 3609 w 3609"/>
                          <a:gd name="T13" fmla="*/ 0 h 3609"/>
                          <a:gd name="T14" fmla="*/ 3609 w 3609"/>
                          <a:gd name="T15" fmla="*/ 3609 h 3609"/>
                          <a:gd name="T16" fmla="*/ 0 w 3609"/>
                          <a:gd name="T17" fmla="*/ 3609 h 3609"/>
                          <a:gd name="T18" fmla="*/ 0 w 3609"/>
                          <a:gd name="T19" fmla="*/ 0 h 3609"/>
                          <a:gd name="T20" fmla="*/ 795 w 3609"/>
                          <a:gd name="T21" fmla="*/ 2745 h 3609"/>
                          <a:gd name="T22" fmla="*/ 2166 w 3609"/>
                          <a:gd name="T23" fmla="*/ 866 h 3609"/>
                          <a:gd name="T24" fmla="*/ 2814 w 3609"/>
                          <a:gd name="T25" fmla="*/ 866 h 3609"/>
                          <a:gd name="T26" fmla="*/ 1443 w 3609"/>
                          <a:gd name="T27" fmla="*/ 2745 h 3609"/>
                          <a:gd name="T28" fmla="*/ 795 w 3609"/>
                          <a:gd name="T29" fmla="*/ 2745 h 36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609" h="3609">
                            <a:moveTo>
                              <a:pt x="505" y="505"/>
                            </a:moveTo>
                            <a:lnTo>
                              <a:pt x="505" y="3103"/>
                            </a:lnTo>
                            <a:lnTo>
                              <a:pt x="3101" y="3103"/>
                            </a:lnTo>
                            <a:lnTo>
                              <a:pt x="3101" y="505"/>
                            </a:lnTo>
                            <a:lnTo>
                              <a:pt x="505" y="505"/>
                            </a:lnTo>
                            <a:close/>
                            <a:moveTo>
                              <a:pt x="0" y="0"/>
                            </a:moveTo>
                            <a:lnTo>
                              <a:pt x="3609" y="0"/>
                            </a:lnTo>
                            <a:lnTo>
                              <a:pt x="3609" y="3609"/>
                            </a:lnTo>
                            <a:lnTo>
                              <a:pt x="0" y="3609"/>
                            </a:lnTo>
                            <a:lnTo>
                              <a:pt x="0" y="0"/>
                            </a:lnTo>
                            <a:close/>
                            <a:moveTo>
                              <a:pt x="795" y="2745"/>
                            </a:moveTo>
                            <a:lnTo>
                              <a:pt x="2166" y="866"/>
                            </a:lnTo>
                            <a:lnTo>
                              <a:pt x="2814" y="866"/>
                            </a:lnTo>
                            <a:lnTo>
                              <a:pt x="1443" y="2745"/>
                            </a:lnTo>
                            <a:lnTo>
                              <a:pt x="795" y="2745"/>
                            </a:lnTo>
                            <a:close/>
                          </a:path>
                        </a:pathLst>
                      </a:custGeom>
                      <a:solidFill>
                        <a:schemeClr val="accent1"/>
                      </a:solidFill>
                      <a:ln>
                        <a:noFill/>
                      </a:ln>
                    </wps:spPr>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EFD91" id="Freeform 31" o:spid="_x0000_s1026" alt="Deutsche Bank Logo" style="position:absolute;margin-left:524.5pt;margin-top:28.35pt;width:42.5pt;height:42.5pt;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609,3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" path="m505,505r,2598l3101,3103r,-2598l505,505xm,l3609,r,3609l,3609,,xm795,2745l2166,866r648,l1443,2745r-648,xe" fillcolor="#1e2a78 [3204]" stroked="f">
              <v:path arrowok="t" o:connecttype="custom" o:connectlocs="75561,75561;75561,464289;463990,464289;463990,75561;75561,75561;0,0;540000,0;540000,540000;0,540000;0,0;118953,410723;324090,129576;421047,129576;215910,410723;118953,410723" o:connectangles="0,0,0,0,0,0,0,0,0,0,0,0,0,0,0"/>
              <o:lock v:ext="edit" aspectratio="t" verticies="t"/>
              <w10:wrap anchorx="page" anchory="page"/>
              <w10:anchorlock/>
            </v:shape>
          </w:pict>
        </mc:Fallback>
      </mc:AlternateContent>
    </w:r>
    <w:r w:rsidR="006F256B" w:rsidRPr="00E66775">
      <mc:AlternateContent>
        <mc:Choice Requires="wps">
          <w:drawing>
            <wp:anchor distT="0" distB="0" distL="114300" distR="114300" simplePos="0" relativeHeight="251657728" behindDoc="0" locked="1" layoutInCell="0" allowOverlap="1" wp14:anchorId="1C08DC7E" wp14:editId="1AFF8825">
              <wp:simplePos x="0" y="0"/>
              <wp:positionH relativeFrom="page">
                <wp:posOffset>0</wp:posOffset>
              </wp:positionH>
              <wp:positionV relativeFrom="page">
                <wp:posOffset>3776980</wp:posOffset>
              </wp:positionV>
              <wp:extent cx="179705" cy="3810"/>
              <wp:effectExtent l="0" t="0" r="1270" b="635"/>
              <wp:wrapNone/>
              <wp:docPr id="1"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38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4EDEC" id="Rectangle 2" o:spid="_x0000_s1026" alt="&quot;&quot;" style="position:absolute;margin-left:0;margin-top:297.4pt;width:14.15pt;height:.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" o:allowincell="f" fillcolor="black" stroked="f">
              <w10:wrap anchorx="page" anchory="page"/>
              <w10:anchorlock/>
            </v:rect>
          </w:pict>
        </mc:Fallback>
      </mc:AlternateContent>
    </w:r>
  </w:p>
  <w:p w14:paraId="4D31B1D2" w14:textId="5E9FC170" w:rsidR="005F31A3" w:rsidRPr="009B7ADF" w:rsidRDefault="005F31A3" w:rsidP="009B7ADF">
    <w:pPr>
      <w:pStyle w:val="Identifi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2B8421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C0ABB2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B86F47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4796953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18E355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1239D8"/>
    <w:multiLevelType w:val="hybridMultilevel"/>
    <w:tmpl w:val="725A59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032429"/>
    <w:multiLevelType w:val="hybridMultilevel"/>
    <w:tmpl w:val="D292DD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400B5"/>
    <w:multiLevelType w:val="hybridMultilevel"/>
    <w:tmpl w:val="74E28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E95762"/>
    <w:multiLevelType w:val="hybridMultilevel"/>
    <w:tmpl w:val="A41412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7B3B62"/>
    <w:multiLevelType w:val="hybridMultilevel"/>
    <w:tmpl w:val="E1B2F1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127814"/>
    <w:multiLevelType w:val="hybridMultilevel"/>
    <w:tmpl w:val="BB3A1D74"/>
    <w:lvl w:ilvl="0" w:tplc="04090015">
      <w:start w:val="1"/>
      <w:numFmt w:val="upp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19C24E65"/>
    <w:multiLevelType w:val="hybridMultilevel"/>
    <w:tmpl w:val="A41412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F764D9"/>
    <w:multiLevelType w:val="hybridMultilevel"/>
    <w:tmpl w:val="FD38E0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405C27"/>
    <w:multiLevelType w:val="hybridMultilevel"/>
    <w:tmpl w:val="01822B58"/>
    <w:lvl w:ilvl="0" w:tplc="0409000F">
      <w:start w:val="1"/>
      <w:numFmt w:val="decimal"/>
      <w:lvlText w:val="%1."/>
      <w:lvlJc w:val="left"/>
      <w:pPr>
        <w:ind w:left="1429" w:hanging="360"/>
      </w:p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2614781A"/>
    <w:multiLevelType w:val="hybridMultilevel"/>
    <w:tmpl w:val="C1C684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822028"/>
    <w:multiLevelType w:val="hybridMultilevel"/>
    <w:tmpl w:val="8E48D0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A407078"/>
    <w:multiLevelType w:val="hybridMultilevel"/>
    <w:tmpl w:val="E1B2F1A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572DAE"/>
    <w:multiLevelType w:val="hybridMultilevel"/>
    <w:tmpl w:val="6728EF46"/>
    <w:lvl w:ilvl="0" w:tplc="04090019">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8" w15:restartNumberingAfterBreak="0">
    <w:nsid w:val="3C1D6740"/>
    <w:multiLevelType w:val="hybridMultilevel"/>
    <w:tmpl w:val="BF48DFA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D05D6"/>
    <w:multiLevelType w:val="hybridMultilevel"/>
    <w:tmpl w:val="5422F6C8"/>
    <w:lvl w:ilvl="0" w:tplc="2424C44C">
      <w:start w:val="450"/>
      <w:numFmt w:val="bullet"/>
      <w:lvlText w:val="-"/>
      <w:lvlJc w:val="left"/>
      <w:pPr>
        <w:ind w:left="720" w:hanging="360"/>
      </w:pPr>
      <w:rPr>
        <w:rFonts w:ascii="Deutsche Bank Text" w:eastAsia="Times New Roman" w:hAnsi="Deutsche Bank Text" w:cs="Deutsche Bank Tex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316A96"/>
    <w:multiLevelType w:val="hybridMultilevel"/>
    <w:tmpl w:val="9DEA9E74"/>
    <w:lvl w:ilvl="0" w:tplc="0409001B">
      <w:start w:val="1"/>
      <w:numFmt w:val="lowerRoman"/>
      <w:lvlText w:val="%1."/>
      <w:lvlJc w:val="right"/>
      <w:pPr>
        <w:ind w:left="2487" w:hanging="360"/>
      </w:p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1" w15:restartNumberingAfterBreak="0">
    <w:nsid w:val="4C5926E0"/>
    <w:multiLevelType w:val="hybridMultilevel"/>
    <w:tmpl w:val="A41412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2EA21C7"/>
    <w:multiLevelType w:val="hybridMultilevel"/>
    <w:tmpl w:val="A41412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715728"/>
    <w:multiLevelType w:val="hybridMultilevel"/>
    <w:tmpl w:val="AB5A4D1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4" w15:restartNumberingAfterBreak="0">
    <w:nsid w:val="6D5F1E21"/>
    <w:multiLevelType w:val="hybridMultilevel"/>
    <w:tmpl w:val="A41412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7B538F"/>
    <w:multiLevelType w:val="hybridMultilevel"/>
    <w:tmpl w:val="BC209FA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15:restartNumberingAfterBreak="0">
    <w:nsid w:val="7241001F"/>
    <w:multiLevelType w:val="hybridMultilevel"/>
    <w:tmpl w:val="A99C5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257B59"/>
    <w:multiLevelType w:val="hybridMultilevel"/>
    <w:tmpl w:val="D3E80C00"/>
    <w:lvl w:ilvl="0" w:tplc="37F8A3B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054309">
    <w:abstractNumId w:val="4"/>
  </w:num>
  <w:num w:numId="2" w16cid:durableId="2139950905">
    <w:abstractNumId w:val="3"/>
  </w:num>
  <w:num w:numId="3" w16cid:durableId="538321865">
    <w:abstractNumId w:val="2"/>
  </w:num>
  <w:num w:numId="4" w16cid:durableId="1704210526">
    <w:abstractNumId w:val="1"/>
  </w:num>
  <w:num w:numId="5" w16cid:durableId="1230506671">
    <w:abstractNumId w:val="0"/>
  </w:num>
  <w:num w:numId="6" w16cid:durableId="1850944527">
    <w:abstractNumId w:val="27"/>
  </w:num>
  <w:num w:numId="7" w16cid:durableId="802117524">
    <w:abstractNumId w:val="19"/>
  </w:num>
  <w:num w:numId="8" w16cid:durableId="470904553">
    <w:abstractNumId w:val="13"/>
  </w:num>
  <w:num w:numId="9" w16cid:durableId="175004857">
    <w:abstractNumId w:val="5"/>
  </w:num>
  <w:num w:numId="10" w16cid:durableId="1401060338">
    <w:abstractNumId w:val="17"/>
  </w:num>
  <w:num w:numId="11" w16cid:durableId="2119325785">
    <w:abstractNumId w:val="14"/>
  </w:num>
  <w:num w:numId="12" w16cid:durableId="348722519">
    <w:abstractNumId w:val="26"/>
  </w:num>
  <w:num w:numId="13" w16cid:durableId="911281927">
    <w:abstractNumId w:val="15"/>
  </w:num>
  <w:num w:numId="14" w16cid:durableId="1471098569">
    <w:abstractNumId w:val="10"/>
  </w:num>
  <w:num w:numId="15" w16cid:durableId="926422155">
    <w:abstractNumId w:val="20"/>
  </w:num>
  <w:num w:numId="16" w16cid:durableId="1029645146">
    <w:abstractNumId w:val="25"/>
  </w:num>
  <w:num w:numId="17" w16cid:durableId="738985654">
    <w:abstractNumId w:val="12"/>
  </w:num>
  <w:num w:numId="18" w16cid:durableId="415444906">
    <w:abstractNumId w:val="18"/>
  </w:num>
  <w:num w:numId="19" w16cid:durableId="688261412">
    <w:abstractNumId w:val="23"/>
  </w:num>
  <w:num w:numId="20" w16cid:durableId="100146582">
    <w:abstractNumId w:val="9"/>
  </w:num>
  <w:num w:numId="21" w16cid:durableId="892735099">
    <w:abstractNumId w:val="7"/>
  </w:num>
  <w:num w:numId="22" w16cid:durableId="136727099">
    <w:abstractNumId w:val="22"/>
  </w:num>
  <w:num w:numId="23" w16cid:durableId="117068698">
    <w:abstractNumId w:val="16"/>
  </w:num>
  <w:num w:numId="24" w16cid:durableId="143202959">
    <w:abstractNumId w:val="6"/>
  </w:num>
  <w:num w:numId="25" w16cid:durableId="998994345">
    <w:abstractNumId w:val="11"/>
  </w:num>
  <w:num w:numId="26" w16cid:durableId="14236162">
    <w:abstractNumId w:val="8"/>
  </w:num>
  <w:num w:numId="27" w16cid:durableId="259802967">
    <w:abstractNumId w:val="21"/>
  </w:num>
  <w:num w:numId="28" w16cid:durableId="3136855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rawingGridHorizontalSpacing w:val="78"/>
  <w:displayHorizontalDrawingGridEvery w:val="2"/>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EF6"/>
    <w:rsid w:val="00004644"/>
    <w:rsid w:val="0001709D"/>
    <w:rsid w:val="000171AB"/>
    <w:rsid w:val="00025704"/>
    <w:rsid w:val="00026DC6"/>
    <w:rsid w:val="00035873"/>
    <w:rsid w:val="00043658"/>
    <w:rsid w:val="00044B7C"/>
    <w:rsid w:val="000462CC"/>
    <w:rsid w:val="00050112"/>
    <w:rsid w:val="0005255B"/>
    <w:rsid w:val="00052A00"/>
    <w:rsid w:val="000551CC"/>
    <w:rsid w:val="000634C0"/>
    <w:rsid w:val="00065682"/>
    <w:rsid w:val="00065BDF"/>
    <w:rsid w:val="00065FCD"/>
    <w:rsid w:val="000665B2"/>
    <w:rsid w:val="000756C1"/>
    <w:rsid w:val="00077B3B"/>
    <w:rsid w:val="0009190F"/>
    <w:rsid w:val="000919D4"/>
    <w:rsid w:val="000A4266"/>
    <w:rsid w:val="000C195B"/>
    <w:rsid w:val="000C7323"/>
    <w:rsid w:val="000D0E7E"/>
    <w:rsid w:val="000D3C95"/>
    <w:rsid w:val="000D5063"/>
    <w:rsid w:val="000D685E"/>
    <w:rsid w:val="000D7EF2"/>
    <w:rsid w:val="00104368"/>
    <w:rsid w:val="00105373"/>
    <w:rsid w:val="0011130C"/>
    <w:rsid w:val="001119F6"/>
    <w:rsid w:val="00120104"/>
    <w:rsid w:val="0012638A"/>
    <w:rsid w:val="00126A94"/>
    <w:rsid w:val="00127316"/>
    <w:rsid w:val="00142B57"/>
    <w:rsid w:val="00143692"/>
    <w:rsid w:val="001643FC"/>
    <w:rsid w:val="00175C93"/>
    <w:rsid w:val="00182E18"/>
    <w:rsid w:val="001874ED"/>
    <w:rsid w:val="00194093"/>
    <w:rsid w:val="00196397"/>
    <w:rsid w:val="00196E4C"/>
    <w:rsid w:val="00197817"/>
    <w:rsid w:val="001A024E"/>
    <w:rsid w:val="001A18E3"/>
    <w:rsid w:val="001A4317"/>
    <w:rsid w:val="001B2009"/>
    <w:rsid w:val="001C07D0"/>
    <w:rsid w:val="001C43E7"/>
    <w:rsid w:val="001C4DCB"/>
    <w:rsid w:val="001C7E97"/>
    <w:rsid w:val="0020092D"/>
    <w:rsid w:val="00201BCE"/>
    <w:rsid w:val="002050B0"/>
    <w:rsid w:val="00210FEA"/>
    <w:rsid w:val="00215BFA"/>
    <w:rsid w:val="00217F01"/>
    <w:rsid w:val="00226FD5"/>
    <w:rsid w:val="002319F5"/>
    <w:rsid w:val="00234A4F"/>
    <w:rsid w:val="0024770A"/>
    <w:rsid w:val="00251041"/>
    <w:rsid w:val="002527E3"/>
    <w:rsid w:val="00253532"/>
    <w:rsid w:val="00256C71"/>
    <w:rsid w:val="00257677"/>
    <w:rsid w:val="00265EDA"/>
    <w:rsid w:val="00267867"/>
    <w:rsid w:val="002713A8"/>
    <w:rsid w:val="00273B10"/>
    <w:rsid w:val="002754BD"/>
    <w:rsid w:val="002915DB"/>
    <w:rsid w:val="0029502E"/>
    <w:rsid w:val="002A3B23"/>
    <w:rsid w:val="002A40C8"/>
    <w:rsid w:val="002A573A"/>
    <w:rsid w:val="002B006E"/>
    <w:rsid w:val="002B2F0E"/>
    <w:rsid w:val="002C0559"/>
    <w:rsid w:val="002D2EA8"/>
    <w:rsid w:val="002D4E22"/>
    <w:rsid w:val="002D6101"/>
    <w:rsid w:val="002E42D3"/>
    <w:rsid w:val="002F3A40"/>
    <w:rsid w:val="002F523E"/>
    <w:rsid w:val="002F524C"/>
    <w:rsid w:val="002F5771"/>
    <w:rsid w:val="002F764E"/>
    <w:rsid w:val="00316749"/>
    <w:rsid w:val="003201C1"/>
    <w:rsid w:val="003213C7"/>
    <w:rsid w:val="0032175D"/>
    <w:rsid w:val="00325113"/>
    <w:rsid w:val="003465AE"/>
    <w:rsid w:val="00350EAC"/>
    <w:rsid w:val="00354599"/>
    <w:rsid w:val="00363835"/>
    <w:rsid w:val="003648E2"/>
    <w:rsid w:val="00367338"/>
    <w:rsid w:val="00370C8C"/>
    <w:rsid w:val="003743ED"/>
    <w:rsid w:val="0037664A"/>
    <w:rsid w:val="00380727"/>
    <w:rsid w:val="00382572"/>
    <w:rsid w:val="0039505A"/>
    <w:rsid w:val="003951E6"/>
    <w:rsid w:val="00396158"/>
    <w:rsid w:val="003978A7"/>
    <w:rsid w:val="00397CD9"/>
    <w:rsid w:val="003A5F72"/>
    <w:rsid w:val="003B484D"/>
    <w:rsid w:val="003C09D3"/>
    <w:rsid w:val="003C7D4F"/>
    <w:rsid w:val="003D1B5A"/>
    <w:rsid w:val="003D2569"/>
    <w:rsid w:val="003E2AF5"/>
    <w:rsid w:val="003E3208"/>
    <w:rsid w:val="003F0249"/>
    <w:rsid w:val="003F70CA"/>
    <w:rsid w:val="00404A0C"/>
    <w:rsid w:val="00406DF4"/>
    <w:rsid w:val="0041453A"/>
    <w:rsid w:val="00416CF8"/>
    <w:rsid w:val="00427785"/>
    <w:rsid w:val="004327F1"/>
    <w:rsid w:val="004336E1"/>
    <w:rsid w:val="004354F8"/>
    <w:rsid w:val="00443FDE"/>
    <w:rsid w:val="00451623"/>
    <w:rsid w:val="0045793F"/>
    <w:rsid w:val="0047063C"/>
    <w:rsid w:val="00471FB7"/>
    <w:rsid w:val="00495226"/>
    <w:rsid w:val="004A0D65"/>
    <w:rsid w:val="004A6407"/>
    <w:rsid w:val="004B378E"/>
    <w:rsid w:val="004C0BDC"/>
    <w:rsid w:val="004C1ED5"/>
    <w:rsid w:val="004C740E"/>
    <w:rsid w:val="004C7B3B"/>
    <w:rsid w:val="004D7D2B"/>
    <w:rsid w:val="004E08D6"/>
    <w:rsid w:val="004E1ACA"/>
    <w:rsid w:val="004E317D"/>
    <w:rsid w:val="004F431B"/>
    <w:rsid w:val="004F44EF"/>
    <w:rsid w:val="004F4FB0"/>
    <w:rsid w:val="004F5A24"/>
    <w:rsid w:val="0051365B"/>
    <w:rsid w:val="00513AFD"/>
    <w:rsid w:val="005173B7"/>
    <w:rsid w:val="0051755C"/>
    <w:rsid w:val="00520284"/>
    <w:rsid w:val="005278C5"/>
    <w:rsid w:val="00535582"/>
    <w:rsid w:val="00536EF6"/>
    <w:rsid w:val="00543025"/>
    <w:rsid w:val="00544798"/>
    <w:rsid w:val="005449D1"/>
    <w:rsid w:val="00555012"/>
    <w:rsid w:val="005651FF"/>
    <w:rsid w:val="00570702"/>
    <w:rsid w:val="0057188B"/>
    <w:rsid w:val="00572D99"/>
    <w:rsid w:val="00572EBE"/>
    <w:rsid w:val="005738EE"/>
    <w:rsid w:val="0057469C"/>
    <w:rsid w:val="00583F11"/>
    <w:rsid w:val="00584AB6"/>
    <w:rsid w:val="0058782F"/>
    <w:rsid w:val="00592BD6"/>
    <w:rsid w:val="005933A8"/>
    <w:rsid w:val="00597CCA"/>
    <w:rsid w:val="005E3E26"/>
    <w:rsid w:val="005F31A3"/>
    <w:rsid w:val="005F6D8D"/>
    <w:rsid w:val="005F7BDD"/>
    <w:rsid w:val="00607936"/>
    <w:rsid w:val="00610232"/>
    <w:rsid w:val="00610291"/>
    <w:rsid w:val="00611627"/>
    <w:rsid w:val="00624DD3"/>
    <w:rsid w:val="006313BB"/>
    <w:rsid w:val="0063295B"/>
    <w:rsid w:val="00633D40"/>
    <w:rsid w:val="00634AF7"/>
    <w:rsid w:val="00640329"/>
    <w:rsid w:val="00654A86"/>
    <w:rsid w:val="00657B9F"/>
    <w:rsid w:val="00664171"/>
    <w:rsid w:val="0067788E"/>
    <w:rsid w:val="00682B75"/>
    <w:rsid w:val="006842ED"/>
    <w:rsid w:val="006879E2"/>
    <w:rsid w:val="00693916"/>
    <w:rsid w:val="00696DA5"/>
    <w:rsid w:val="006B051F"/>
    <w:rsid w:val="006B16F6"/>
    <w:rsid w:val="006B4785"/>
    <w:rsid w:val="006D5ECC"/>
    <w:rsid w:val="006E1171"/>
    <w:rsid w:val="006E53A7"/>
    <w:rsid w:val="006F256B"/>
    <w:rsid w:val="006F5240"/>
    <w:rsid w:val="00702789"/>
    <w:rsid w:val="007103C6"/>
    <w:rsid w:val="007155CD"/>
    <w:rsid w:val="007228C6"/>
    <w:rsid w:val="00722924"/>
    <w:rsid w:val="007272A3"/>
    <w:rsid w:val="00731DED"/>
    <w:rsid w:val="00735D98"/>
    <w:rsid w:val="007362BE"/>
    <w:rsid w:val="00750254"/>
    <w:rsid w:val="007505A4"/>
    <w:rsid w:val="00751015"/>
    <w:rsid w:val="00752E03"/>
    <w:rsid w:val="00754CD5"/>
    <w:rsid w:val="007567F7"/>
    <w:rsid w:val="00766890"/>
    <w:rsid w:val="007675CD"/>
    <w:rsid w:val="00782FD8"/>
    <w:rsid w:val="00785F16"/>
    <w:rsid w:val="007B0D73"/>
    <w:rsid w:val="007B2F04"/>
    <w:rsid w:val="007B4F48"/>
    <w:rsid w:val="007B4FE9"/>
    <w:rsid w:val="007C019D"/>
    <w:rsid w:val="007C057D"/>
    <w:rsid w:val="007C3C96"/>
    <w:rsid w:val="007D0D6A"/>
    <w:rsid w:val="007D58F8"/>
    <w:rsid w:val="007D7072"/>
    <w:rsid w:val="007E1D0A"/>
    <w:rsid w:val="007E2BA9"/>
    <w:rsid w:val="007E6857"/>
    <w:rsid w:val="008016F5"/>
    <w:rsid w:val="00803979"/>
    <w:rsid w:val="0081555D"/>
    <w:rsid w:val="00815F94"/>
    <w:rsid w:val="0082227E"/>
    <w:rsid w:val="00826B3E"/>
    <w:rsid w:val="00835BD0"/>
    <w:rsid w:val="00843C73"/>
    <w:rsid w:val="0085313D"/>
    <w:rsid w:val="008608B3"/>
    <w:rsid w:val="00863B9B"/>
    <w:rsid w:val="00864008"/>
    <w:rsid w:val="00877BE4"/>
    <w:rsid w:val="00892EFE"/>
    <w:rsid w:val="008A3DB5"/>
    <w:rsid w:val="008A509A"/>
    <w:rsid w:val="008A6767"/>
    <w:rsid w:val="008B1D66"/>
    <w:rsid w:val="008B295E"/>
    <w:rsid w:val="008B6AA6"/>
    <w:rsid w:val="008C6F85"/>
    <w:rsid w:val="008E4D1F"/>
    <w:rsid w:val="008F577D"/>
    <w:rsid w:val="009010C8"/>
    <w:rsid w:val="00904A6D"/>
    <w:rsid w:val="0091191E"/>
    <w:rsid w:val="009164B6"/>
    <w:rsid w:val="00922BF9"/>
    <w:rsid w:val="00934242"/>
    <w:rsid w:val="00936101"/>
    <w:rsid w:val="00941296"/>
    <w:rsid w:val="0094602F"/>
    <w:rsid w:val="0095322C"/>
    <w:rsid w:val="009540F1"/>
    <w:rsid w:val="00954A12"/>
    <w:rsid w:val="009572AD"/>
    <w:rsid w:val="00963516"/>
    <w:rsid w:val="00963885"/>
    <w:rsid w:val="0096443F"/>
    <w:rsid w:val="0096762B"/>
    <w:rsid w:val="00967E89"/>
    <w:rsid w:val="00971DD5"/>
    <w:rsid w:val="009852AB"/>
    <w:rsid w:val="00990D55"/>
    <w:rsid w:val="00992035"/>
    <w:rsid w:val="0099517C"/>
    <w:rsid w:val="009A0389"/>
    <w:rsid w:val="009B378E"/>
    <w:rsid w:val="009B7ADF"/>
    <w:rsid w:val="009C272F"/>
    <w:rsid w:val="009C4FD4"/>
    <w:rsid w:val="009C6A20"/>
    <w:rsid w:val="009D1575"/>
    <w:rsid w:val="009D49BD"/>
    <w:rsid w:val="00A03722"/>
    <w:rsid w:val="00A038F1"/>
    <w:rsid w:val="00A122AE"/>
    <w:rsid w:val="00A136CB"/>
    <w:rsid w:val="00A30FFF"/>
    <w:rsid w:val="00A31C35"/>
    <w:rsid w:val="00A33D49"/>
    <w:rsid w:val="00A372F6"/>
    <w:rsid w:val="00A43489"/>
    <w:rsid w:val="00A52A52"/>
    <w:rsid w:val="00A735B9"/>
    <w:rsid w:val="00A737D1"/>
    <w:rsid w:val="00A82AE4"/>
    <w:rsid w:val="00A96F8B"/>
    <w:rsid w:val="00A96FB3"/>
    <w:rsid w:val="00A976A0"/>
    <w:rsid w:val="00AA599E"/>
    <w:rsid w:val="00AC4CAB"/>
    <w:rsid w:val="00AD3FB3"/>
    <w:rsid w:val="00AD57E4"/>
    <w:rsid w:val="00AE4773"/>
    <w:rsid w:val="00AE76E0"/>
    <w:rsid w:val="00AF44BF"/>
    <w:rsid w:val="00AF7A84"/>
    <w:rsid w:val="00B064B6"/>
    <w:rsid w:val="00B10134"/>
    <w:rsid w:val="00B212C0"/>
    <w:rsid w:val="00B21ADD"/>
    <w:rsid w:val="00B22EF6"/>
    <w:rsid w:val="00B43722"/>
    <w:rsid w:val="00B456F3"/>
    <w:rsid w:val="00B51D50"/>
    <w:rsid w:val="00B54F0B"/>
    <w:rsid w:val="00B60A78"/>
    <w:rsid w:val="00B63612"/>
    <w:rsid w:val="00B63C88"/>
    <w:rsid w:val="00B77F32"/>
    <w:rsid w:val="00B83017"/>
    <w:rsid w:val="00B857C2"/>
    <w:rsid w:val="00B86F25"/>
    <w:rsid w:val="00B8724A"/>
    <w:rsid w:val="00B91B0E"/>
    <w:rsid w:val="00BB5E87"/>
    <w:rsid w:val="00BC2583"/>
    <w:rsid w:val="00BC7C01"/>
    <w:rsid w:val="00BD0748"/>
    <w:rsid w:val="00BD3595"/>
    <w:rsid w:val="00BD4820"/>
    <w:rsid w:val="00BD630F"/>
    <w:rsid w:val="00BE0B5A"/>
    <w:rsid w:val="00BE2E8E"/>
    <w:rsid w:val="00BF2716"/>
    <w:rsid w:val="00BF424E"/>
    <w:rsid w:val="00BF5B9F"/>
    <w:rsid w:val="00BF7D79"/>
    <w:rsid w:val="00C06D63"/>
    <w:rsid w:val="00C106BD"/>
    <w:rsid w:val="00C1234D"/>
    <w:rsid w:val="00C1701D"/>
    <w:rsid w:val="00C36EF5"/>
    <w:rsid w:val="00C514D3"/>
    <w:rsid w:val="00C520E0"/>
    <w:rsid w:val="00C542D0"/>
    <w:rsid w:val="00C54819"/>
    <w:rsid w:val="00C652FE"/>
    <w:rsid w:val="00C729FE"/>
    <w:rsid w:val="00C74371"/>
    <w:rsid w:val="00C85D6D"/>
    <w:rsid w:val="00C947FC"/>
    <w:rsid w:val="00C975DA"/>
    <w:rsid w:val="00CA0EAF"/>
    <w:rsid w:val="00CC50DB"/>
    <w:rsid w:val="00CC61CE"/>
    <w:rsid w:val="00CC63D6"/>
    <w:rsid w:val="00CD2840"/>
    <w:rsid w:val="00CD3A60"/>
    <w:rsid w:val="00CD4D66"/>
    <w:rsid w:val="00CD5B62"/>
    <w:rsid w:val="00CE585D"/>
    <w:rsid w:val="00CF1CD1"/>
    <w:rsid w:val="00CF78F8"/>
    <w:rsid w:val="00D03FF8"/>
    <w:rsid w:val="00D04794"/>
    <w:rsid w:val="00D15D07"/>
    <w:rsid w:val="00D16876"/>
    <w:rsid w:val="00D33F6E"/>
    <w:rsid w:val="00D41C70"/>
    <w:rsid w:val="00D42252"/>
    <w:rsid w:val="00D66CC5"/>
    <w:rsid w:val="00D763DF"/>
    <w:rsid w:val="00D771BF"/>
    <w:rsid w:val="00D95864"/>
    <w:rsid w:val="00DA1A89"/>
    <w:rsid w:val="00DA2503"/>
    <w:rsid w:val="00DC06BB"/>
    <w:rsid w:val="00DC53B3"/>
    <w:rsid w:val="00DC5835"/>
    <w:rsid w:val="00DD3441"/>
    <w:rsid w:val="00DE5DAC"/>
    <w:rsid w:val="00DF154A"/>
    <w:rsid w:val="00DF3022"/>
    <w:rsid w:val="00DF4B43"/>
    <w:rsid w:val="00DF5501"/>
    <w:rsid w:val="00DF59DD"/>
    <w:rsid w:val="00DF7F0A"/>
    <w:rsid w:val="00E0668B"/>
    <w:rsid w:val="00E14594"/>
    <w:rsid w:val="00E17768"/>
    <w:rsid w:val="00E21378"/>
    <w:rsid w:val="00E316FC"/>
    <w:rsid w:val="00E33B8B"/>
    <w:rsid w:val="00E4241C"/>
    <w:rsid w:val="00E445B5"/>
    <w:rsid w:val="00E450E1"/>
    <w:rsid w:val="00E46EAA"/>
    <w:rsid w:val="00E51F08"/>
    <w:rsid w:val="00E55C4F"/>
    <w:rsid w:val="00E569F6"/>
    <w:rsid w:val="00E57B38"/>
    <w:rsid w:val="00E65877"/>
    <w:rsid w:val="00E66775"/>
    <w:rsid w:val="00E710B3"/>
    <w:rsid w:val="00E738D8"/>
    <w:rsid w:val="00E74AAF"/>
    <w:rsid w:val="00E86336"/>
    <w:rsid w:val="00E94472"/>
    <w:rsid w:val="00E97D5F"/>
    <w:rsid w:val="00E97FF4"/>
    <w:rsid w:val="00EA15A8"/>
    <w:rsid w:val="00EB1CB1"/>
    <w:rsid w:val="00EC1B34"/>
    <w:rsid w:val="00EC4287"/>
    <w:rsid w:val="00EC6E1F"/>
    <w:rsid w:val="00ED1302"/>
    <w:rsid w:val="00ED2426"/>
    <w:rsid w:val="00ED41C2"/>
    <w:rsid w:val="00EF7A86"/>
    <w:rsid w:val="00F043BB"/>
    <w:rsid w:val="00F049B0"/>
    <w:rsid w:val="00F05502"/>
    <w:rsid w:val="00F06D95"/>
    <w:rsid w:val="00F11656"/>
    <w:rsid w:val="00F204C6"/>
    <w:rsid w:val="00F238F1"/>
    <w:rsid w:val="00F3424F"/>
    <w:rsid w:val="00F57559"/>
    <w:rsid w:val="00F74E2D"/>
    <w:rsid w:val="00F96CA0"/>
    <w:rsid w:val="00FA17C3"/>
    <w:rsid w:val="00FB2B29"/>
    <w:rsid w:val="00FB6019"/>
    <w:rsid w:val="00FC37E7"/>
    <w:rsid w:val="00FC6224"/>
    <w:rsid w:val="00FC64EE"/>
    <w:rsid w:val="00FE0628"/>
    <w:rsid w:val="00FE59F2"/>
    <w:rsid w:val="00FF31D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3A2294"/>
  <w15:docId w15:val="{191D99DF-8BC7-4DEA-8F57-A743AA40D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utscheBank" w:eastAsia="Times New Roman" w:hAnsi="DeutscheBank"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2009"/>
    <w:rPr>
      <w:lang w:val="en-GB"/>
    </w:rPr>
  </w:style>
  <w:style w:type="paragraph" w:styleId="Heading1">
    <w:name w:val="heading 1"/>
    <w:basedOn w:val="Normal"/>
    <w:next w:val="Normal"/>
    <w:qFormat/>
    <w:rsid w:val="00990D55"/>
    <w:pPr>
      <w:keepNext/>
      <w:spacing w:before="320" w:after="320" w:line="320" w:lineRule="exact"/>
      <w:outlineLvl w:val="0"/>
    </w:pPr>
    <w:rPr>
      <w:rFonts w:asciiTheme="majorHAnsi" w:hAnsiTheme="majorHAnsi" w:cs="Arial"/>
      <w:b/>
      <w:bCs/>
      <w:color w:val="1E2A78" w:themeColor="accent1"/>
      <w:sz w:val="32"/>
    </w:rPr>
  </w:style>
  <w:style w:type="paragraph" w:styleId="Heading2">
    <w:name w:val="heading 2"/>
    <w:basedOn w:val="Heading1"/>
    <w:next w:val="Normal"/>
    <w:qFormat/>
    <w:rsid w:val="00990D55"/>
    <w:pPr>
      <w:outlineLvl w:val="1"/>
    </w:pPr>
    <w:rPr>
      <w:b w:val="0"/>
      <w:bCs w:val="0"/>
      <w:iCs/>
      <w:color w:val="0069B1" w:themeColor="accent2"/>
    </w:rPr>
  </w:style>
  <w:style w:type="paragraph" w:styleId="Heading3">
    <w:name w:val="heading 3"/>
    <w:basedOn w:val="Heading1"/>
    <w:next w:val="Normal"/>
    <w:qFormat/>
    <w:rsid w:val="00990D55"/>
    <w:pPr>
      <w:spacing w:before="280" w:after="280" w:line="240" w:lineRule="auto"/>
      <w:outlineLvl w:val="2"/>
    </w:pPr>
    <w:rPr>
      <w:b w:val="0"/>
      <w:bCs w:val="0"/>
      <w:color w:val="16184E"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130C"/>
    <w:pPr>
      <w:tabs>
        <w:tab w:val="center" w:pos="4536"/>
        <w:tab w:val="right" w:pos="9072"/>
      </w:tabs>
    </w:pPr>
  </w:style>
  <w:style w:type="paragraph" w:styleId="Footer">
    <w:name w:val="footer"/>
    <w:aliases w:val="footer"/>
    <w:basedOn w:val="Normal"/>
    <w:link w:val="FooterChar"/>
    <w:uiPriority w:val="99"/>
    <w:rsid w:val="00DF59DD"/>
    <w:pPr>
      <w:tabs>
        <w:tab w:val="left" w:pos="357"/>
      </w:tabs>
      <w:suppressAutoHyphens/>
      <w:spacing w:line="150" w:lineRule="exact"/>
    </w:pPr>
    <w:rPr>
      <w:rFonts w:cs="Arial"/>
      <w:noProof/>
      <w:sz w:val="12"/>
      <w:szCs w:val="12"/>
    </w:rPr>
  </w:style>
  <w:style w:type="character" w:customStyle="1" w:styleId="HeaderChar">
    <w:name w:val="Header Char"/>
    <w:basedOn w:val="DefaultParagraphFont"/>
    <w:link w:val="Header"/>
    <w:uiPriority w:val="99"/>
    <w:rsid w:val="0011130C"/>
    <w:rPr>
      <w:rFonts w:ascii="Arial" w:hAnsi="Arial"/>
      <w:sz w:val="21"/>
      <w:szCs w:val="22"/>
    </w:rPr>
  </w:style>
  <w:style w:type="table" w:styleId="TableGrid">
    <w:name w:val="Table Grid"/>
    <w:basedOn w:val="TableNormal"/>
    <w:rsid w:val="00F3424F"/>
    <w:pPr>
      <w:tabs>
        <w:tab w:val="left" w:pos="357"/>
      </w:tabs>
    </w:pPr>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dersdetails">
    <w:name w:val="Senders details"/>
    <w:basedOn w:val="Normal"/>
    <w:qFormat/>
    <w:rsid w:val="00DF59DD"/>
    <w:pPr>
      <w:framePr w:w="3402" w:h="2835" w:hRule="exact" w:wrap="around" w:vAnchor="page" w:hAnchor="page" w:x="7939" w:y="2269" w:anchorLock="1"/>
      <w:tabs>
        <w:tab w:val="left" w:pos="357"/>
      </w:tabs>
      <w:spacing w:after="90"/>
    </w:pPr>
    <w:rPr>
      <w:noProof/>
      <w:color w:val="000000" w:themeColor="text1"/>
      <w:sz w:val="18"/>
      <w:szCs w:val="18"/>
    </w:rPr>
  </w:style>
  <w:style w:type="paragraph" w:customStyle="1" w:styleId="Addressee">
    <w:name w:val="Addressee"/>
    <w:basedOn w:val="Normal"/>
    <w:qFormat/>
    <w:rsid w:val="00DF59DD"/>
    <w:pPr>
      <w:framePr w:w="4536" w:h="1537" w:hRule="exact" w:wrap="notBeside" w:vAnchor="page" w:hAnchor="page" w:x="1419" w:y="2989" w:anchorLock="1"/>
    </w:pPr>
  </w:style>
  <w:style w:type="character" w:customStyle="1" w:styleId="FooterChar">
    <w:name w:val="Footer Char"/>
    <w:aliases w:val="footer Char"/>
    <w:basedOn w:val="DefaultParagraphFont"/>
    <w:link w:val="Footer"/>
    <w:uiPriority w:val="99"/>
    <w:rsid w:val="00DF59DD"/>
    <w:rPr>
      <w:rFonts w:asciiTheme="minorHAnsi" w:hAnsiTheme="minorHAnsi" w:cs="Arial"/>
      <w:noProof/>
      <w:sz w:val="12"/>
      <w:szCs w:val="12"/>
      <w:lang w:val="en-GB"/>
    </w:rPr>
  </w:style>
  <w:style w:type="character" w:styleId="Hyperlink">
    <w:name w:val="Hyperlink"/>
    <w:basedOn w:val="DefaultParagraphFont"/>
    <w:unhideWhenUsed/>
    <w:rsid w:val="00256C71"/>
    <w:rPr>
      <w:color w:val="000000" w:themeColor="text1"/>
      <w:u w:val="none"/>
    </w:rPr>
  </w:style>
  <w:style w:type="paragraph" w:customStyle="1" w:styleId="Identifier">
    <w:name w:val="Identifier"/>
    <w:basedOn w:val="Normal"/>
    <w:qFormat/>
    <w:rsid w:val="009B7ADF"/>
    <w:pPr>
      <w:spacing w:line="240" w:lineRule="exact"/>
    </w:pPr>
    <w:rPr>
      <w:rFonts w:asciiTheme="majorHAnsi" w:hAnsiTheme="majorHAnsi"/>
      <w:noProof/>
      <w:color w:val="1E2A78" w:themeColor="accent1"/>
      <w:sz w:val="24"/>
      <w:szCs w:val="24"/>
    </w:rPr>
  </w:style>
  <w:style w:type="character" w:customStyle="1" w:styleId="FuzeileZchn1">
    <w:name w:val="Fußzeile Zchn1"/>
    <w:basedOn w:val="DefaultParagraphFont"/>
    <w:semiHidden/>
    <w:rsid w:val="00026DC6"/>
    <w:rPr>
      <w:rFonts w:ascii="Deutsche Bank Text" w:hAnsi="Deutsche Bank Text"/>
      <w:sz w:val="21"/>
      <w:szCs w:val="22"/>
    </w:rPr>
  </w:style>
  <w:style w:type="character" w:styleId="UnresolvedMention">
    <w:name w:val="Unresolved Mention"/>
    <w:basedOn w:val="DefaultParagraphFont"/>
    <w:uiPriority w:val="99"/>
    <w:semiHidden/>
    <w:unhideWhenUsed/>
    <w:rsid w:val="00DF154A"/>
    <w:rPr>
      <w:color w:val="605E5C"/>
      <w:shd w:val="clear" w:color="auto" w:fill="E1DFDD"/>
    </w:rPr>
  </w:style>
  <w:style w:type="paragraph" w:customStyle="1" w:styleId="copy">
    <w:name w:val="copy"/>
    <w:basedOn w:val="Normal"/>
    <w:qFormat/>
    <w:rsid w:val="00815F94"/>
    <w:pPr>
      <w:tabs>
        <w:tab w:val="left" w:pos="6521"/>
      </w:tabs>
      <w:autoSpaceDE w:val="0"/>
      <w:autoSpaceDN w:val="0"/>
      <w:adjustRightInd w:val="0"/>
    </w:pPr>
    <w:rPr>
      <w:rFonts w:cs="Arial"/>
      <w:color w:val="000000"/>
    </w:rPr>
  </w:style>
  <w:style w:type="character" w:styleId="PlaceholderText">
    <w:name w:val="Placeholder Text"/>
    <w:basedOn w:val="DefaultParagraphFont"/>
    <w:uiPriority w:val="99"/>
    <w:semiHidden/>
    <w:rsid w:val="00C542D0"/>
    <w:rPr>
      <w:color w:val="666666"/>
    </w:rPr>
  </w:style>
  <w:style w:type="character" w:customStyle="1" w:styleId="Bold">
    <w:name w:val="Bold"/>
    <w:basedOn w:val="DefaultParagraphFont"/>
    <w:uiPriority w:val="1"/>
    <w:qFormat/>
    <w:rsid w:val="00815F94"/>
    <w:rPr>
      <w:b/>
      <w:bCs/>
    </w:rPr>
  </w:style>
  <w:style w:type="paragraph" w:customStyle="1" w:styleId="Adresse">
    <w:name w:val="Adresse"/>
    <w:basedOn w:val="Normal"/>
    <w:rsid w:val="001B2009"/>
    <w:pPr>
      <w:framePr w:w="4536" w:h="1641" w:hRule="exact" w:hSpace="142" w:wrap="notBeside" w:vAnchor="page" w:hAnchor="page" w:x="1362" w:y="2859" w:anchorLock="1"/>
      <w:spacing w:line="240" w:lineRule="exact"/>
    </w:pPr>
    <w:rPr>
      <w:rFonts w:ascii="Arial" w:hAnsi="Arial" w:cs="Arial"/>
      <w:spacing w:val="-2"/>
      <w:sz w:val="21"/>
      <w:szCs w:val="22"/>
      <w:lang w:val="de-DE"/>
    </w:rPr>
  </w:style>
  <w:style w:type="paragraph" w:customStyle="1" w:styleId="copytext">
    <w:name w:val="copy text"/>
    <w:basedOn w:val="Normal"/>
    <w:qFormat/>
    <w:rsid w:val="001B2009"/>
    <w:pPr>
      <w:autoSpaceDE w:val="0"/>
      <w:autoSpaceDN w:val="0"/>
      <w:adjustRightInd w:val="0"/>
    </w:pPr>
    <w:rPr>
      <w:rFonts w:ascii="Arial" w:hAnsi="Arial" w:cs="Arial"/>
      <w:color w:val="000000"/>
      <w:spacing w:val="-2"/>
      <w:sz w:val="21"/>
      <w:szCs w:val="22"/>
    </w:rPr>
  </w:style>
  <w:style w:type="paragraph" w:styleId="ListParagraph">
    <w:name w:val="List Paragraph"/>
    <w:basedOn w:val="Normal"/>
    <w:uiPriority w:val="34"/>
    <w:qFormat/>
    <w:rsid w:val="001B2009"/>
    <w:pPr>
      <w:ind w:left="720"/>
    </w:pPr>
    <w:rPr>
      <w:rFonts w:ascii="Aptos" w:eastAsiaTheme="minorHAnsi" w:hAnsi="Aptos" w:cs="Aptos"/>
      <w:sz w:val="22"/>
      <w:szCs w:val="22"/>
      <w:lang w:val="en-US" w:eastAsia="en-US"/>
      <w14:ligatures w14:val="standardContextual"/>
    </w:rPr>
  </w:style>
  <w:style w:type="paragraph" w:styleId="Revision">
    <w:name w:val="Revision"/>
    <w:hidden/>
    <w:uiPriority w:val="99"/>
    <w:semiHidden/>
    <w:rsid w:val="004B378E"/>
    <w:rPr>
      <w:lang w:val="en-GB"/>
    </w:rPr>
  </w:style>
  <w:style w:type="paragraph" w:styleId="FootnoteText">
    <w:name w:val="footnote text"/>
    <w:basedOn w:val="Normal"/>
    <w:link w:val="FootnoteTextChar"/>
    <w:semiHidden/>
    <w:unhideWhenUsed/>
    <w:rsid w:val="00513AFD"/>
  </w:style>
  <w:style w:type="character" w:customStyle="1" w:styleId="FootnoteTextChar">
    <w:name w:val="Footnote Text Char"/>
    <w:basedOn w:val="DefaultParagraphFont"/>
    <w:link w:val="FootnoteText"/>
    <w:semiHidden/>
    <w:rsid w:val="00513AFD"/>
    <w:rPr>
      <w:lang w:val="en-GB"/>
    </w:rPr>
  </w:style>
  <w:style w:type="character" w:styleId="FootnoteReference">
    <w:name w:val="footnote reference"/>
    <w:basedOn w:val="DefaultParagraphFont"/>
    <w:semiHidden/>
    <w:unhideWhenUsed/>
    <w:rsid w:val="00513A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75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f.protocol@db.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db24-bright-2025-01">
  <a:themeElements>
    <a:clrScheme name="DB 2024 09">
      <a:dk1>
        <a:srgbClr val="000000"/>
      </a:dk1>
      <a:lt1>
        <a:srgbClr val="FFFFFF"/>
      </a:lt1>
      <a:dk2>
        <a:srgbClr val="16184E"/>
      </a:dk2>
      <a:lt2>
        <a:srgbClr val="CCEDF9"/>
      </a:lt2>
      <a:accent1>
        <a:srgbClr val="1E2A78"/>
      </a:accent1>
      <a:accent2>
        <a:srgbClr val="0069B1"/>
      </a:accent2>
      <a:accent3>
        <a:srgbClr val="3BB8B8"/>
      </a:accent3>
      <a:accent4>
        <a:srgbClr val="24778D"/>
      </a:accent4>
      <a:accent5>
        <a:srgbClr val="25A62D"/>
      </a:accent5>
      <a:accent6>
        <a:srgbClr val="C9DD03"/>
      </a:accent6>
      <a:hlink>
        <a:srgbClr val="00A3E0"/>
      </a:hlink>
      <a:folHlink>
        <a:srgbClr val="00A3E0"/>
      </a:folHlink>
    </a:clrScheme>
    <a:fontScheme name="Deutsche Bank 2024 09">
      <a:majorFont>
        <a:latin typeface="DeutscheBank"/>
        <a:ea typeface="MS PGothic"/>
        <a:cs typeface=""/>
      </a:majorFont>
      <a:minorFont>
        <a:latin typeface="DeutscheBan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txDef>
      <a:spPr>
        <a:noFill/>
      </a:spPr>
      <a:bodyPr wrap="none" lIns="0" tIns="0" rIns="0" bIns="0" rtlCol="0">
        <a:spAutoFit/>
      </a:bodyPr>
      <a:lstStyle>
        <a:defPPr algn="l">
          <a:defRPr sz="1400" dirty="0" smtClean="0"/>
        </a:defPPr>
      </a:lstStyle>
    </a:txDef>
  </a:objectDefaults>
  <a:extraClrSchemeLst/>
  <a:custClrLst>
    <a:custClr name="Deep Blue">
      <a:srgbClr val="1E2A78"/>
    </a:custClr>
    <a:custClr name="Dark Blue">
      <a:srgbClr val="16184E"/>
    </a:custClr>
    <a:custClr name="Mid Blue">
      <a:srgbClr val="0069B1"/>
    </a:custClr>
    <a:custClr name="Bright Blue">
      <a:srgbClr val="34A6DC"/>
    </a:custClr>
    <a:custClr name="Light Blue">
      <a:srgbClr val="CDEBF6"/>
    </a:custClr>
    <a:custClr name="Ice Blue">
      <a:srgbClr val="ECF4FC"/>
    </a:custClr>
    <a:custClr name="Grey">
      <a:srgbClr val="EDF1F7"/>
    </a:custClr>
    <a:custClr name="Light Violet">
      <a:srgbClr val="C18EBD"/>
    </a:custClr>
    <a:custClr name="Rubine Red">
      <a:srgbClr val="D4065D"/>
    </a:custClr>
    <a:custClr name="White">
      <a:srgbClr val="FFFFFF"/>
    </a:custClr>
    <a:custClr name="Turquoise">
      <a:srgbClr val="3BB8B8"/>
    </a:custClr>
    <a:custClr name="Petrol">
      <a:srgbClr val="24778D"/>
    </a:custClr>
    <a:custClr name="Summer Green">
      <a:srgbClr val="25A62D"/>
    </a:custClr>
    <a:custClr name="Spring Green">
      <a:srgbClr val="C9DD03"/>
    </a:custClr>
    <a:custClr name="Autumn Green">
      <a:srgbClr val="A1AC05"/>
    </a:custClr>
    <a:custClr name="Lucent Yellow">
      <a:srgbClr val="FFE600"/>
    </a:custClr>
    <a:custClr name="Sundown Orange">
      <a:srgbClr val="F28011"/>
    </a:custClr>
    <a:custClr name="Night Violet">
      <a:srgbClr val="431661"/>
    </a:custClr>
    <a:custClr name="Bright Red">
      <a:srgbClr val="E7001D"/>
    </a:custClr>
    <a:custClr name="White">
      <a:srgbClr val="FFFFFF"/>
    </a:custClr>
  </a:custClrLst>
  <a:extLst>
    <a:ext uri="{05A4C25C-085E-4340-85A3-A5531E510DB2}">
      <thm15:themeFamily xmlns:thm15="http://schemas.microsoft.com/office/thememl/2012/main" name="db24-bright-2025-01" id="{CE5E6E1F-4E6A-41FC-A1CC-BAD2791C7B66}" vid="{7C94FF46-8220-4740-BE68-35FA3E1CCF6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3196A874D01049B1A03260E77D8D3A" ma:contentTypeVersion="15" ma:contentTypeDescription="Create a new document." ma:contentTypeScope="" ma:versionID="5c2e770ede307a4b58419cb6202f5955">
  <xsd:schema xmlns:xsd="http://www.w3.org/2001/XMLSchema" xmlns:xs="http://www.w3.org/2001/XMLSchema" xmlns:p="http://schemas.microsoft.com/office/2006/metadata/properties" xmlns:ns1="http://schemas.microsoft.com/sharepoint/v3" xmlns:ns2="d81d000a-7f1e-494a-895f-a83bd7b1e289" xmlns:ns3="a31fefd6-978c-4300-9ea1-09d31710d4c6" targetNamespace="http://schemas.microsoft.com/office/2006/metadata/properties" ma:root="true" ma:fieldsID="87fc4c7c07a4716031da3c15ff6d072c" ns1:_="" ns2:_="" ns3:_="">
    <xsd:import namespace="http://schemas.microsoft.com/sharepoint/v3"/>
    <xsd:import namespace="d81d000a-7f1e-494a-895f-a83bd7b1e289"/>
    <xsd:import namespace="a31fefd6-978c-4300-9ea1-09d31710d4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1:_ip_UnifiedCompliancePolicyProperties" minOccurs="0"/>
                <xsd:element ref="ns1:_ip_UnifiedCompliancePolicyUIActio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1d000a-7f1e-494a-895f-a83bd7b1e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fc7666e-d55c-42e6-98c7-52deeb412a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1fefd6-978c-4300-9ea1-09d31710d4c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94edd86-cdce-4e1a-8deb-61ec6acdb099}" ma:internalName="TaxCatchAll" ma:showField="CatchAllData" ma:web="a31fefd6-978c-4300-9ea1-09d31710d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81d000a-7f1e-494a-895f-a83bd7b1e289">
      <Terms xmlns="http://schemas.microsoft.com/office/infopath/2007/PartnerControls"/>
    </lcf76f155ced4ddcb4097134ff3c332f>
    <TaxCatchAll xmlns="a31fefd6-978c-4300-9ea1-09d31710d4c6"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B43077-1F26-4A9F-8033-7BF8F9EBC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1d000a-7f1e-494a-895f-a83bd7b1e289"/>
    <ds:schemaRef ds:uri="a31fefd6-978c-4300-9ea1-09d31710d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AA3841-B27E-4519-860E-FE4A527010C8}">
  <ds:schemaRefs>
    <ds:schemaRef ds:uri="http://schemas.openxmlformats.org/officeDocument/2006/bibliography"/>
  </ds:schemaRefs>
</ds:datastoreItem>
</file>

<file path=customXml/itemProps3.xml><?xml version="1.0" encoding="utf-8"?>
<ds:datastoreItem xmlns:ds="http://schemas.openxmlformats.org/officeDocument/2006/customXml" ds:itemID="{B550FE26-9CB6-40C0-97A9-42EA1AC0C804}">
  <ds:schemaRefs>
    <ds:schemaRef ds:uri="http://schemas.microsoft.com/office/2006/metadata/properties"/>
    <ds:schemaRef ds:uri="http://schemas.microsoft.com/office/infopath/2007/PartnerControls"/>
    <ds:schemaRef ds:uri="http://schemas.microsoft.com/sharepoint/v3"/>
    <ds:schemaRef ds:uri="d81d000a-7f1e-494a-895f-a83bd7b1e289"/>
    <ds:schemaRef ds:uri="a31fefd6-978c-4300-9ea1-09d31710d4c6"/>
  </ds:schemaRefs>
</ds:datastoreItem>
</file>

<file path=customXml/itemProps4.xml><?xml version="1.0" encoding="utf-8"?>
<ds:datastoreItem xmlns:ds="http://schemas.openxmlformats.org/officeDocument/2006/customXml" ds:itemID="{1200D1BA-C9E3-4A4F-91D2-BA53320B1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4337</Words>
  <Characters>23899</Characters>
  <Application>Microsoft Office Word</Application>
  <DocSecurity>0</DocSecurity>
  <Lines>442</Lines>
  <Paragraphs>105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Briefvorlage Deutsche Bank AG deutsch</vt:lpstr>
      <vt:lpstr>Briefvorlage Deutsche Bank AG deutsch</vt:lpstr>
    </vt:vector>
  </TitlesOfParts>
  <Company>Deutsche Bank AG</Company>
  <LinksUpToDate>false</LinksUpToDate>
  <CharactersWithSpaces>28131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Mark Methodologies and Assumptions Disclosure Statement</dc:title>
  <dc:subject>[Reference Heading]</dc:subject>
  <dc:creator>Deutsche Bank AG</dc:creator>
  <cp:keywords>Public</cp:keywords>
  <dc:description/>
  <cp:lastModifiedBy>Jacques Regnier</cp:lastModifiedBy>
  <cp:revision>2</cp:revision>
  <cp:lastPrinted>2025-05-05T10:34:00Z</cp:lastPrinted>
  <dcterms:created xsi:type="dcterms:W3CDTF">2026-05-19T16:56:00Z</dcterms:created>
  <dcterms:modified xsi:type="dcterms:W3CDTF">2026-05-19T16:56:00Z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stellt von">
    <vt:lpwstr>XXK</vt:lpwstr>
  </property>
  <property fmtid="{D5CDD505-2E9C-101B-9397-08002B2CF9AE}" pid="3" name="MSIP_Label_a844c618-538c-404a-b2f6-f58b5e4f4fae_Enabled">
    <vt:lpwstr>true</vt:lpwstr>
  </property>
  <property fmtid="{D5CDD505-2E9C-101B-9397-08002B2CF9AE}" pid="4" name="MSIP_Label_a844c618-538c-404a-b2f6-f58b5e4f4fae_SetDate">
    <vt:lpwstr>2025-04-28T14:31:49Z</vt:lpwstr>
  </property>
  <property fmtid="{D5CDD505-2E9C-101B-9397-08002B2CF9AE}" pid="5" name="MSIP_Label_a844c618-538c-404a-b2f6-f58b5e4f4fae_Method">
    <vt:lpwstr>Privileged</vt:lpwstr>
  </property>
  <property fmtid="{D5CDD505-2E9C-101B-9397-08002B2CF9AE}" pid="6" name="MSIP_Label_a844c618-538c-404a-b2f6-f58b5e4f4fae_Name">
    <vt:lpwstr>Public</vt:lpwstr>
  </property>
  <property fmtid="{D5CDD505-2E9C-101B-9397-08002B2CF9AE}" pid="7" name="MSIP_Label_a844c618-538c-404a-b2f6-f58b5e4f4fae_SiteId">
    <vt:lpwstr>41eb501a-f671-4ce0-a5bf-b64168c3705f</vt:lpwstr>
  </property>
  <property fmtid="{D5CDD505-2E9C-101B-9397-08002B2CF9AE}" pid="8" name="MSIP_Label_a844c618-538c-404a-b2f6-f58b5e4f4fae_ActionId">
    <vt:lpwstr>4d19b5ab-cd20-4a5a-9d29-42ba31df3d32</vt:lpwstr>
  </property>
  <property fmtid="{D5CDD505-2E9C-101B-9397-08002B2CF9AE}" pid="9" name="MSIP_Label_a844c618-538c-404a-b2f6-f58b5e4f4fae_ContentBits">
    <vt:lpwstr>0</vt:lpwstr>
  </property>
  <property fmtid="{D5CDD505-2E9C-101B-9397-08002B2CF9AE}" pid="10" name="MSIP_Label_a844c618-538c-404a-b2f6-f58b5e4f4fae_Tag">
    <vt:lpwstr>50, 0, 1, 1</vt:lpwstr>
  </property>
  <property fmtid="{D5CDD505-2E9C-101B-9397-08002B2CF9AE}" pid="11" name="ContentTypeId">
    <vt:lpwstr>0x0101009D3196A874D01049B1A03260E77D8D3A</vt:lpwstr>
  </property>
  <property fmtid="{D5CDD505-2E9C-101B-9397-08002B2CF9AE}" pid="12" name="ClassificationContentMarkingFooterShapeIds">
    <vt:lpwstr>480ac81f,7da51247,597c9a8c</vt:lpwstr>
  </property>
  <property fmtid="{D5CDD505-2E9C-101B-9397-08002B2CF9AE}" pid="13" name="ClassificationContentMarkingFooterFontProps">
    <vt:lpwstr>#000000,10,Calibri</vt:lpwstr>
  </property>
  <property fmtid="{D5CDD505-2E9C-101B-9397-08002B2CF9AE}" pid="14" name="ClassificationContentMarkingFooterText">
    <vt:lpwstr> </vt:lpwstr>
  </property>
  <property fmtid="{D5CDD505-2E9C-101B-9397-08002B2CF9AE}" pid="15" name="MSIP_Label_958510b9-3810-472f-9abf-3a689c488070_Enabled">
    <vt:lpwstr>true</vt:lpwstr>
  </property>
  <property fmtid="{D5CDD505-2E9C-101B-9397-08002B2CF9AE}" pid="16" name="MSIP_Label_958510b9-3810-472f-9abf-3a689c488070_SetDate">
    <vt:lpwstr>2026-01-26T13:57:28Z</vt:lpwstr>
  </property>
  <property fmtid="{D5CDD505-2E9C-101B-9397-08002B2CF9AE}" pid="17" name="MSIP_Label_958510b9-3810-472f-9abf-3a689c488070_Method">
    <vt:lpwstr>Privileged</vt:lpwstr>
  </property>
  <property fmtid="{D5CDD505-2E9C-101B-9397-08002B2CF9AE}" pid="18" name="MSIP_Label_958510b9-3810-472f-9abf-3a689c488070_Name">
    <vt:lpwstr>958510b9-3810-472f-9abf-3a689c488070</vt:lpwstr>
  </property>
  <property fmtid="{D5CDD505-2E9C-101B-9397-08002B2CF9AE}" pid="19" name="MSIP_Label_958510b9-3810-472f-9abf-3a689c488070_SiteId">
    <vt:lpwstr>1e9b61e8-e590-4abc-b1af-24125e330d2a</vt:lpwstr>
  </property>
  <property fmtid="{D5CDD505-2E9C-101B-9397-08002B2CF9AE}" pid="20" name="MSIP_Label_958510b9-3810-472f-9abf-3a689c488070_ActionId">
    <vt:lpwstr>65e570af-c1b2-4964-b1be-9c76727b8afb</vt:lpwstr>
  </property>
  <property fmtid="{D5CDD505-2E9C-101B-9397-08002B2CF9AE}" pid="21" name="MSIP_Label_958510b9-3810-472f-9abf-3a689c488070_ContentBits">
    <vt:lpwstr>3</vt:lpwstr>
  </property>
  <property fmtid="{D5CDD505-2E9C-101B-9397-08002B2CF9AE}" pid="22" name="MSIP_Label_958510b9-3810-472f-9abf-3a689c488070_Tag">
    <vt:lpwstr>10, 0, 1, 1</vt:lpwstr>
  </property>
</Properties>
</file>